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C7" w:rsidRPr="00A15991" w:rsidRDefault="005B7CC7" w:rsidP="005B7CC7">
      <w:pPr>
        <w:rPr>
          <w:rFonts w:asciiTheme="majorBidi" w:hAnsiTheme="majorBidi" w:cstheme="majorBidi"/>
          <w:b/>
          <w:bCs/>
          <w:sz w:val="24"/>
          <w:szCs w:val="24"/>
        </w:rPr>
      </w:pPr>
    </w:p>
    <w:p w:rsidR="005B7CC7" w:rsidRPr="00A15991" w:rsidRDefault="005B7CC7" w:rsidP="005B7CC7">
      <w:pPr>
        <w:jc w:val="center"/>
        <w:rPr>
          <w:rFonts w:asciiTheme="majorBidi" w:hAnsiTheme="majorBidi" w:cstheme="majorBidi"/>
          <w:b/>
          <w:bCs/>
          <w:sz w:val="24"/>
          <w:szCs w:val="24"/>
        </w:rPr>
      </w:pPr>
      <w:r w:rsidRPr="00A15991">
        <w:rPr>
          <w:rFonts w:asciiTheme="majorBidi" w:hAnsiTheme="majorBidi" w:cstheme="majorBidi"/>
          <w:b/>
          <w:bCs/>
          <w:sz w:val="24"/>
          <w:szCs w:val="24"/>
        </w:rPr>
        <w:t>Chapitre 4 : Dosage des lipides</w:t>
      </w:r>
    </w:p>
    <w:p w:rsidR="005B7CC7" w:rsidRPr="00A15991" w:rsidRDefault="005B7CC7" w:rsidP="00816DA5">
      <w:pPr>
        <w:tabs>
          <w:tab w:val="left" w:pos="567"/>
        </w:tabs>
        <w:autoSpaceDE w:val="0"/>
        <w:autoSpaceDN w:val="0"/>
        <w:adjustRightInd w:val="0"/>
        <w:spacing w:after="0" w:line="240" w:lineRule="auto"/>
        <w:rPr>
          <w:rFonts w:asciiTheme="majorBidi" w:hAnsiTheme="majorBidi" w:cstheme="majorBidi"/>
          <w:b/>
          <w:bCs/>
          <w:sz w:val="24"/>
          <w:szCs w:val="24"/>
        </w:rPr>
      </w:pPr>
    </w:p>
    <w:p w:rsidR="00816DA5" w:rsidRPr="00A15991" w:rsidRDefault="005B7CC7" w:rsidP="00816DA5">
      <w:pPr>
        <w:tabs>
          <w:tab w:val="left" w:pos="567"/>
        </w:tabs>
        <w:autoSpaceDE w:val="0"/>
        <w:autoSpaceDN w:val="0"/>
        <w:adjustRightInd w:val="0"/>
        <w:spacing w:after="0" w:line="240" w:lineRule="auto"/>
        <w:rPr>
          <w:rFonts w:asciiTheme="majorBidi" w:hAnsiTheme="majorBidi" w:cstheme="majorBidi"/>
          <w:b/>
          <w:bCs/>
          <w:sz w:val="24"/>
          <w:szCs w:val="24"/>
        </w:rPr>
      </w:pPr>
      <w:r w:rsidRPr="00A15991">
        <w:rPr>
          <w:rFonts w:asciiTheme="majorBidi" w:hAnsiTheme="majorBidi" w:cstheme="majorBidi"/>
          <w:b/>
          <w:bCs/>
          <w:sz w:val="24"/>
          <w:szCs w:val="24"/>
        </w:rPr>
        <w:t>Introduction :</w:t>
      </w:r>
    </w:p>
    <w:p w:rsidR="00816DA5" w:rsidRPr="00A15991" w:rsidRDefault="00816DA5" w:rsidP="00816DA5">
      <w:pPr>
        <w:tabs>
          <w:tab w:val="left" w:pos="567"/>
        </w:tabs>
        <w:autoSpaceDE w:val="0"/>
        <w:autoSpaceDN w:val="0"/>
        <w:adjustRightInd w:val="0"/>
        <w:spacing w:after="0" w:line="240" w:lineRule="auto"/>
        <w:rPr>
          <w:rFonts w:asciiTheme="majorBidi" w:hAnsiTheme="majorBidi" w:cstheme="majorBidi"/>
          <w:sz w:val="24"/>
          <w:szCs w:val="24"/>
        </w:rPr>
      </w:pPr>
    </w:p>
    <w:p w:rsidR="00816DA5" w:rsidRPr="00A15991" w:rsidRDefault="00816DA5" w:rsidP="00491DEF">
      <w:p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Les lipides qu’ils soient apparent comme dans le beurre et les huiles ou dissimulés comme dans le lait, fromage, la viande ou les œufs, jouent un rôle important dans l’alimentation :</w:t>
      </w:r>
    </w:p>
    <w:p w:rsidR="00816DA5" w:rsidRPr="00A15991" w:rsidRDefault="00816DA5" w:rsidP="00491DEF">
      <w:pPr>
        <w:pStyle w:val="Paragraphedeliste"/>
        <w:numPr>
          <w:ilvl w:val="0"/>
          <w:numId w:val="6"/>
        </w:num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b/>
          <w:bCs/>
          <w:sz w:val="24"/>
          <w:szCs w:val="24"/>
        </w:rPr>
        <w:t xml:space="preserve">Rôle nutritionnel : </w:t>
      </w:r>
      <w:r w:rsidRPr="00A15991">
        <w:rPr>
          <w:rFonts w:asciiTheme="majorBidi" w:hAnsiTheme="majorBidi" w:cstheme="majorBidi"/>
          <w:sz w:val="24"/>
          <w:szCs w:val="24"/>
        </w:rPr>
        <w:t>Tout d’abord grâce à l’apport énergétique 8.5 cal/g d’acide gras essentiel et de vitamines liposolubles A, E, K, D.</w:t>
      </w:r>
    </w:p>
    <w:p w:rsidR="00816DA5" w:rsidRPr="00A15991" w:rsidRDefault="00816DA5" w:rsidP="00491DEF">
      <w:pPr>
        <w:pStyle w:val="Paragraphedeliste"/>
        <w:numPr>
          <w:ilvl w:val="0"/>
          <w:numId w:val="6"/>
        </w:num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b/>
          <w:bCs/>
          <w:sz w:val="24"/>
          <w:szCs w:val="24"/>
        </w:rPr>
        <w:t xml:space="preserve">Rôle organoleptique : </w:t>
      </w:r>
      <w:r w:rsidRPr="00A15991">
        <w:rPr>
          <w:rFonts w:asciiTheme="majorBidi" w:hAnsiTheme="majorBidi" w:cstheme="majorBidi"/>
          <w:sz w:val="24"/>
          <w:szCs w:val="24"/>
        </w:rPr>
        <w:t>Ensuite par leurs contribution à la texture et de la sapidité des aliments ainsi que par leurs emploi culinaire.</w:t>
      </w:r>
    </w:p>
    <w:p w:rsidR="00816DA5" w:rsidRPr="00A15991" w:rsidRDefault="00816DA5" w:rsidP="00491DEF">
      <w:p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Les lipides sont des biomolécules insolubles dans l’eau, solubles dans les solvants organiques, cette définition englobe 2 grandes classes :</w:t>
      </w:r>
    </w:p>
    <w:p w:rsidR="00816DA5" w:rsidRPr="00A15991" w:rsidRDefault="00816DA5" w:rsidP="00491DEF">
      <w:pPr>
        <w:pStyle w:val="Paragraphedeliste"/>
        <w:numPr>
          <w:ilvl w:val="0"/>
          <w:numId w:val="7"/>
        </w:numPr>
        <w:tabs>
          <w:tab w:val="left" w:pos="567"/>
        </w:tabs>
        <w:autoSpaceDE w:val="0"/>
        <w:autoSpaceDN w:val="0"/>
        <w:adjustRightInd w:val="0"/>
        <w:spacing w:after="0"/>
        <w:jc w:val="both"/>
        <w:rPr>
          <w:rFonts w:asciiTheme="majorBidi" w:hAnsiTheme="majorBidi" w:cstheme="majorBidi"/>
          <w:sz w:val="24"/>
          <w:szCs w:val="24"/>
        </w:rPr>
      </w:pPr>
      <w:r w:rsidRPr="00A15991">
        <w:rPr>
          <w:rFonts w:ascii="Cambria Math" w:hAnsi="Cambria Math" w:cstheme="majorBidi"/>
          <w:b/>
          <w:bCs/>
          <w:sz w:val="24"/>
          <w:szCs w:val="24"/>
        </w:rPr>
        <w:t>‐</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u w:val="single"/>
        </w:rPr>
        <w:t xml:space="preserve">Lipides saponifiables (simples ou </w:t>
      </w:r>
      <w:proofErr w:type="spellStart"/>
      <w:r w:rsidRPr="00A15991">
        <w:rPr>
          <w:rFonts w:asciiTheme="majorBidi" w:hAnsiTheme="majorBidi" w:cstheme="majorBidi"/>
          <w:sz w:val="24"/>
          <w:szCs w:val="24"/>
          <w:u w:val="single"/>
        </w:rPr>
        <w:t>homolipides</w:t>
      </w:r>
      <w:proofErr w:type="spellEnd"/>
      <w:r w:rsidRPr="00A15991">
        <w:rPr>
          <w:rFonts w:asciiTheme="majorBidi" w:hAnsiTheme="majorBidi" w:cstheme="majorBidi"/>
          <w:sz w:val="24"/>
          <w:szCs w:val="24"/>
          <w:u w:val="single"/>
        </w:rPr>
        <w:t>) :</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rPr>
        <w:t xml:space="preserve">Dérivés naturels résultants de combinaison d’AG (acide gras) avec un alcool ou une amine, sont des lipides ternaires uniquement constitués de C, H, et O. Ce sont les lipides neutres. Les </w:t>
      </w:r>
      <w:proofErr w:type="spellStart"/>
      <w:r w:rsidRPr="00A15991">
        <w:rPr>
          <w:rFonts w:asciiTheme="majorBidi" w:hAnsiTheme="majorBidi" w:cstheme="majorBidi"/>
          <w:sz w:val="24"/>
          <w:szCs w:val="24"/>
        </w:rPr>
        <w:t>triacylglycérols</w:t>
      </w:r>
      <w:proofErr w:type="spellEnd"/>
      <w:r w:rsidRPr="00A15991">
        <w:rPr>
          <w:rFonts w:asciiTheme="majorBidi" w:hAnsiTheme="majorBidi" w:cstheme="majorBidi"/>
          <w:sz w:val="24"/>
          <w:szCs w:val="24"/>
        </w:rPr>
        <w:t xml:space="preserve"> (TAG) sont très majoritaires sur le plan alimentaire ;</w:t>
      </w:r>
    </w:p>
    <w:p w:rsidR="00816DA5" w:rsidRPr="00A15991" w:rsidRDefault="00816DA5" w:rsidP="00491DEF">
      <w:pPr>
        <w:pStyle w:val="Paragraphedeliste"/>
        <w:numPr>
          <w:ilvl w:val="0"/>
          <w:numId w:val="7"/>
        </w:numPr>
        <w:tabs>
          <w:tab w:val="left" w:pos="567"/>
        </w:tabs>
        <w:autoSpaceDE w:val="0"/>
        <w:autoSpaceDN w:val="0"/>
        <w:adjustRightInd w:val="0"/>
        <w:spacing w:after="0"/>
        <w:jc w:val="both"/>
        <w:rPr>
          <w:rFonts w:asciiTheme="majorBidi" w:hAnsiTheme="majorBidi" w:cstheme="majorBidi"/>
          <w:sz w:val="24"/>
          <w:szCs w:val="24"/>
        </w:rPr>
      </w:pPr>
      <w:r w:rsidRPr="00A15991">
        <w:rPr>
          <w:rFonts w:ascii="Cambria Math" w:hAnsi="Cambria Math" w:cstheme="majorBidi"/>
          <w:b/>
          <w:bCs/>
          <w:sz w:val="24"/>
          <w:szCs w:val="24"/>
        </w:rPr>
        <w:t>‐</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u w:val="single"/>
        </w:rPr>
        <w:t>Lipides insaponifiables (</w:t>
      </w:r>
      <w:proofErr w:type="spellStart"/>
      <w:r w:rsidRPr="00A15991">
        <w:rPr>
          <w:rFonts w:asciiTheme="majorBidi" w:hAnsiTheme="majorBidi" w:cstheme="majorBidi"/>
          <w:sz w:val="24"/>
          <w:szCs w:val="24"/>
          <w:u w:val="single"/>
        </w:rPr>
        <w:t>isopréniques</w:t>
      </w:r>
      <w:proofErr w:type="spellEnd"/>
      <w:r w:rsidRPr="00A15991">
        <w:rPr>
          <w:rFonts w:asciiTheme="majorBidi" w:hAnsiTheme="majorBidi" w:cstheme="majorBidi"/>
          <w:sz w:val="24"/>
          <w:szCs w:val="24"/>
          <w:u w:val="single"/>
        </w:rPr>
        <w:t xml:space="preserve"> et </w:t>
      </w:r>
      <w:proofErr w:type="spellStart"/>
      <w:r w:rsidRPr="00A15991">
        <w:rPr>
          <w:rFonts w:asciiTheme="majorBidi" w:hAnsiTheme="majorBidi" w:cstheme="majorBidi"/>
          <w:sz w:val="24"/>
          <w:szCs w:val="24"/>
          <w:u w:val="single"/>
        </w:rPr>
        <w:t>icosanoïdes</w:t>
      </w:r>
      <w:proofErr w:type="spellEnd"/>
      <w:r w:rsidRPr="00A15991">
        <w:rPr>
          <w:rFonts w:asciiTheme="majorBidi" w:hAnsiTheme="majorBidi" w:cstheme="majorBidi"/>
          <w:sz w:val="24"/>
          <w:szCs w:val="24"/>
          <w:u w:val="single"/>
        </w:rPr>
        <w:t>)</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rPr>
        <w:t>:</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rPr>
        <w:t>Constituent un ensemble de molécules très diverses regroupées ici en raison de leur caractère hydrophobe : ce sont les substances lipoïdes. Ils sont des précurseurs communs, L’isoprène est un hydrocarbure diphylétiques à 5 carbones</w:t>
      </w:r>
    </w:p>
    <w:p w:rsidR="00816DA5" w:rsidRPr="00A15991" w:rsidRDefault="00816DA5" w:rsidP="00491DEF">
      <w:pPr>
        <w:pStyle w:val="Paragraphedeliste"/>
        <w:numPr>
          <w:ilvl w:val="0"/>
          <w:numId w:val="7"/>
        </w:numPr>
        <w:tabs>
          <w:tab w:val="left" w:pos="567"/>
        </w:tabs>
        <w:autoSpaceDE w:val="0"/>
        <w:autoSpaceDN w:val="0"/>
        <w:adjustRightInd w:val="0"/>
        <w:spacing w:after="0"/>
        <w:jc w:val="both"/>
        <w:rPr>
          <w:rFonts w:asciiTheme="majorBidi" w:hAnsiTheme="majorBidi" w:cstheme="majorBidi"/>
          <w:sz w:val="24"/>
          <w:szCs w:val="24"/>
        </w:rPr>
      </w:pPr>
      <w:r w:rsidRPr="00A15991">
        <w:rPr>
          <w:rFonts w:ascii="Cambria Math" w:hAnsi="Cambria Math" w:cstheme="majorBidi"/>
          <w:b/>
          <w:bCs/>
          <w:sz w:val="24"/>
          <w:szCs w:val="24"/>
        </w:rPr>
        <w:t>‐</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u w:val="single"/>
        </w:rPr>
        <w:t>Lipides complexes ou hétérolipides :</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rPr>
        <w:t xml:space="preserve">Sont constitués de C, H et O auxquels viennent s’adjoindre P et/ou N. Ces nouveaux atomes donnent des groupements polaires sur la molécule, conduisant ainsi aux lipides amphiphiles. Les </w:t>
      </w:r>
      <w:proofErr w:type="spellStart"/>
      <w:r w:rsidRPr="00A15991">
        <w:rPr>
          <w:rFonts w:asciiTheme="majorBidi" w:hAnsiTheme="majorBidi" w:cstheme="majorBidi"/>
          <w:sz w:val="24"/>
          <w:szCs w:val="24"/>
        </w:rPr>
        <w:t>phosphoglycérolipides</w:t>
      </w:r>
      <w:proofErr w:type="spellEnd"/>
      <w:r w:rsidRPr="00A15991">
        <w:rPr>
          <w:rFonts w:asciiTheme="majorBidi" w:hAnsiTheme="majorBidi" w:cstheme="majorBidi"/>
          <w:sz w:val="24"/>
          <w:szCs w:val="24"/>
        </w:rPr>
        <w:t xml:space="preserve"> (PGL) et les </w:t>
      </w:r>
      <w:proofErr w:type="spellStart"/>
      <w:r w:rsidRPr="00A15991">
        <w:rPr>
          <w:rFonts w:asciiTheme="majorBidi" w:hAnsiTheme="majorBidi" w:cstheme="majorBidi"/>
          <w:sz w:val="24"/>
          <w:szCs w:val="24"/>
        </w:rPr>
        <w:t>sphingolipides</w:t>
      </w:r>
      <w:proofErr w:type="spellEnd"/>
      <w:r w:rsidRPr="00A15991">
        <w:rPr>
          <w:rFonts w:asciiTheme="majorBidi" w:hAnsiTheme="majorBidi" w:cstheme="majorBidi"/>
          <w:sz w:val="24"/>
          <w:szCs w:val="24"/>
        </w:rPr>
        <w:t xml:space="preserve"> (SL) appartiennent à ce groupe ;</w:t>
      </w:r>
    </w:p>
    <w:p w:rsidR="00816DA5" w:rsidRPr="00A15991" w:rsidRDefault="00816DA5"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Les acides gras possèdent tous une longue chaine hydrocarbonée et un groupement carboxylique terminal CH3</w:t>
      </w:r>
      <w:r w:rsidR="005C3184" w:rsidRPr="00A15991">
        <w:rPr>
          <w:rFonts w:asciiTheme="majorBidi" w:hAnsiTheme="majorBidi" w:cstheme="majorBidi"/>
          <w:color w:val="000000"/>
          <w:sz w:val="24"/>
          <w:szCs w:val="24"/>
        </w:rPr>
        <w:t>-</w:t>
      </w:r>
      <w:r w:rsidRPr="00A15991">
        <w:rPr>
          <w:rFonts w:asciiTheme="majorBidi" w:hAnsiTheme="majorBidi" w:cstheme="majorBidi"/>
          <w:color w:val="000000"/>
          <w:sz w:val="24"/>
          <w:szCs w:val="24"/>
        </w:rPr>
        <w:t>(CH2</w:t>
      </w:r>
      <w:proofErr w:type="gramStart"/>
      <w:r w:rsidRPr="00A15991">
        <w:rPr>
          <w:rFonts w:asciiTheme="majorBidi" w:hAnsiTheme="majorBidi" w:cstheme="majorBidi"/>
          <w:color w:val="000000"/>
          <w:sz w:val="24"/>
          <w:szCs w:val="24"/>
        </w:rPr>
        <w:t>)n</w:t>
      </w:r>
      <w:proofErr w:type="gramEnd"/>
      <w:r w:rsidR="005C3184" w:rsidRPr="00A15991">
        <w:rPr>
          <w:rFonts w:asciiTheme="majorBidi" w:hAnsiTheme="majorBidi" w:cstheme="majorBidi"/>
          <w:color w:val="000000"/>
          <w:sz w:val="24"/>
          <w:szCs w:val="24"/>
        </w:rPr>
        <w:t>-</w:t>
      </w:r>
      <w:r w:rsidRPr="00A15991">
        <w:rPr>
          <w:rFonts w:asciiTheme="majorBidi" w:hAnsiTheme="majorBidi" w:cstheme="majorBidi"/>
          <w:color w:val="000000"/>
          <w:sz w:val="24"/>
          <w:szCs w:val="24"/>
        </w:rPr>
        <w:t xml:space="preserve">COOH, la chaine </w:t>
      </w:r>
      <w:proofErr w:type="spellStart"/>
      <w:r w:rsidRPr="00A15991">
        <w:rPr>
          <w:rFonts w:asciiTheme="majorBidi" w:hAnsiTheme="majorBidi" w:cstheme="majorBidi"/>
          <w:color w:val="000000"/>
          <w:sz w:val="24"/>
          <w:szCs w:val="24"/>
        </w:rPr>
        <w:t>hydrocarbonique</w:t>
      </w:r>
      <w:proofErr w:type="spellEnd"/>
      <w:r w:rsidRPr="00A15991">
        <w:rPr>
          <w:rFonts w:asciiTheme="majorBidi" w:hAnsiTheme="majorBidi" w:cstheme="majorBidi"/>
          <w:color w:val="000000"/>
          <w:sz w:val="24"/>
          <w:szCs w:val="24"/>
        </w:rPr>
        <w:t xml:space="preserve"> peut être saturée ou insaturée (présente une</w:t>
      </w:r>
      <w:r w:rsidR="005C3184"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ou plusieurs doubles liaisons).</w:t>
      </w:r>
    </w:p>
    <w:p w:rsidR="005C3184" w:rsidRPr="00A15991" w:rsidRDefault="005C3184"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Les acides gras différent donc entre eux par la longueur de la chaine et le nombre et la localisation des doubles liaisons éventuellement :</w:t>
      </w:r>
    </w:p>
    <w:p w:rsidR="005C3184" w:rsidRPr="00A15991" w:rsidRDefault="005C3184"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a. Acides gras saturés (AGS):</w:t>
      </w:r>
    </w:p>
    <w:p w:rsidR="005C3184" w:rsidRPr="00A15991" w:rsidRDefault="005C3184"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sz w:val="24"/>
          <w:szCs w:val="24"/>
        </w:rPr>
        <w:t>Aucune double liaison, leur formule brute CnH2nO</w:t>
      </w:r>
      <w:r w:rsidRPr="00826B8B">
        <w:rPr>
          <w:rFonts w:asciiTheme="majorBidi" w:hAnsiTheme="majorBidi" w:cstheme="majorBidi"/>
          <w:sz w:val="24"/>
          <w:szCs w:val="24"/>
          <w:vertAlign w:val="subscript"/>
        </w:rPr>
        <w:t>2</w:t>
      </w:r>
      <w:r w:rsidRPr="00A15991">
        <w:rPr>
          <w:rFonts w:asciiTheme="majorBidi" w:hAnsiTheme="majorBidi" w:cstheme="majorBidi"/>
          <w:sz w:val="24"/>
          <w:szCs w:val="24"/>
        </w:rPr>
        <w:t xml:space="preserve">, leur symbole n : 2&lt;n&lt;32, leur formule développé est </w:t>
      </w:r>
      <w:r w:rsidRPr="00A15991">
        <w:rPr>
          <w:rFonts w:asciiTheme="majorBidi" w:hAnsiTheme="majorBidi" w:cstheme="majorBidi"/>
          <w:b/>
          <w:bCs/>
          <w:sz w:val="24"/>
          <w:szCs w:val="24"/>
        </w:rPr>
        <w:t>CH3</w:t>
      </w:r>
      <w:r w:rsidRPr="00A15991">
        <w:rPr>
          <w:rFonts w:ascii="Cambria Math" w:hAnsi="Cambria Math" w:cstheme="majorBidi"/>
          <w:b/>
          <w:bCs/>
          <w:sz w:val="24"/>
          <w:szCs w:val="24"/>
        </w:rPr>
        <w:t>‐</w:t>
      </w:r>
      <w:r w:rsidRPr="00A15991">
        <w:rPr>
          <w:rFonts w:asciiTheme="majorBidi" w:hAnsiTheme="majorBidi" w:cstheme="majorBidi"/>
          <w:b/>
          <w:bCs/>
          <w:sz w:val="24"/>
          <w:szCs w:val="24"/>
        </w:rPr>
        <w:t>(CH2</w:t>
      </w:r>
      <w:proofErr w:type="gramStart"/>
      <w:r w:rsidRPr="00A15991">
        <w:rPr>
          <w:rFonts w:asciiTheme="majorBidi" w:hAnsiTheme="majorBidi" w:cstheme="majorBidi"/>
          <w:b/>
          <w:bCs/>
          <w:sz w:val="24"/>
          <w:szCs w:val="24"/>
        </w:rPr>
        <w:t>)</w:t>
      </w:r>
      <w:r w:rsidRPr="00A15991">
        <w:rPr>
          <w:rFonts w:asciiTheme="majorBidi" w:hAnsiTheme="majorBidi" w:cstheme="majorBidi"/>
          <w:b/>
          <w:bCs/>
          <w:sz w:val="24"/>
          <w:szCs w:val="24"/>
          <w:vertAlign w:val="subscript"/>
        </w:rPr>
        <w:t>n</w:t>
      </w:r>
      <w:proofErr w:type="gramEnd"/>
      <w:r w:rsidRPr="00A15991">
        <w:rPr>
          <w:rFonts w:ascii="Cambria Math" w:hAnsi="Cambria Math" w:cstheme="majorBidi"/>
          <w:b/>
          <w:bCs/>
          <w:sz w:val="24"/>
          <w:szCs w:val="24"/>
          <w:vertAlign w:val="subscript"/>
        </w:rPr>
        <w:t>‐</w:t>
      </w:r>
      <w:r w:rsidRPr="00A15991">
        <w:rPr>
          <w:rFonts w:asciiTheme="majorBidi" w:hAnsiTheme="majorBidi" w:cstheme="majorBidi"/>
          <w:b/>
          <w:bCs/>
          <w:sz w:val="24"/>
          <w:szCs w:val="24"/>
          <w:vertAlign w:val="subscript"/>
        </w:rPr>
        <w:t>2</w:t>
      </w:r>
      <w:r w:rsidRPr="00A15991">
        <w:rPr>
          <w:rFonts w:ascii="Cambria Math" w:hAnsi="Cambria Math" w:cstheme="majorBidi"/>
          <w:b/>
          <w:bCs/>
          <w:sz w:val="24"/>
          <w:szCs w:val="24"/>
        </w:rPr>
        <w:t>‐</w:t>
      </w:r>
      <w:r w:rsidRPr="00A15991">
        <w:rPr>
          <w:rFonts w:asciiTheme="majorBidi" w:hAnsiTheme="majorBidi" w:cstheme="majorBidi"/>
          <w:b/>
          <w:bCs/>
          <w:sz w:val="24"/>
          <w:szCs w:val="24"/>
        </w:rPr>
        <w:t>COOH.</w:t>
      </w:r>
    </w:p>
    <w:p w:rsidR="005C3184" w:rsidRPr="00A15991" w:rsidRDefault="005C3184"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b. Acides gras insaturés (AGI):</w:t>
      </w:r>
    </w:p>
    <w:p w:rsidR="005C3184" w:rsidRPr="00A15991" w:rsidRDefault="005C3184"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Caractérisés par la présence de double liaison,</w:t>
      </w:r>
    </w:p>
    <w:p w:rsidR="005C3184" w:rsidRPr="00A15991" w:rsidRDefault="005C3184" w:rsidP="00491DEF">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Une double liaison : AG monoinsaturé</w:t>
      </w:r>
    </w:p>
    <w:p w:rsidR="005C3184" w:rsidRPr="00826B8B" w:rsidRDefault="005C3184" w:rsidP="00491DEF">
      <w:pPr>
        <w:pStyle w:val="Paragraphedeliste"/>
        <w:numPr>
          <w:ilvl w:val="0"/>
          <w:numId w:val="2"/>
        </w:numPr>
        <w:autoSpaceDE w:val="0"/>
        <w:autoSpaceDN w:val="0"/>
        <w:adjustRightInd w:val="0"/>
        <w:spacing w:after="0"/>
        <w:jc w:val="both"/>
        <w:rPr>
          <w:rFonts w:asciiTheme="majorBidi" w:hAnsiTheme="majorBidi" w:cstheme="majorBidi"/>
          <w:color w:val="000000"/>
          <w:sz w:val="24"/>
          <w:szCs w:val="24"/>
        </w:rPr>
      </w:pPr>
      <w:r w:rsidRPr="00826B8B">
        <w:rPr>
          <w:rFonts w:asciiTheme="majorBidi" w:hAnsiTheme="majorBidi" w:cstheme="majorBidi"/>
          <w:sz w:val="24"/>
          <w:szCs w:val="24"/>
        </w:rPr>
        <w:t>Plusieurs doubles liaisons : Ag polyinsaturé.</w:t>
      </w:r>
    </w:p>
    <w:p w:rsidR="005C3184" w:rsidRPr="00A15991" w:rsidRDefault="005C3184"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c. Glycérides (</w:t>
      </w:r>
      <w:proofErr w:type="spellStart"/>
      <w:r w:rsidRPr="00A15991">
        <w:rPr>
          <w:rFonts w:asciiTheme="majorBidi" w:hAnsiTheme="majorBidi" w:cstheme="majorBidi"/>
          <w:b/>
          <w:bCs/>
          <w:sz w:val="24"/>
          <w:szCs w:val="24"/>
        </w:rPr>
        <w:t>Acylglycérole</w:t>
      </w:r>
      <w:proofErr w:type="spellEnd"/>
      <w:r w:rsidRPr="00A15991">
        <w:rPr>
          <w:rFonts w:asciiTheme="majorBidi" w:hAnsiTheme="majorBidi" w:cstheme="majorBidi"/>
          <w:b/>
          <w:bCs/>
          <w:sz w:val="24"/>
          <w:szCs w:val="24"/>
        </w:rPr>
        <w:t>) :</w:t>
      </w:r>
    </w:p>
    <w:p w:rsidR="005C3184" w:rsidRPr="00A15991" w:rsidRDefault="005C3184"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Appelés encore graisses neutres, c’est la classe la plus importantes. Ce sont les esters de glycérol et</w:t>
      </w:r>
      <w:r w:rsidR="00EA4777" w:rsidRPr="00A15991">
        <w:rPr>
          <w:rFonts w:asciiTheme="majorBidi" w:hAnsiTheme="majorBidi" w:cstheme="majorBidi"/>
          <w:sz w:val="24"/>
          <w:szCs w:val="24"/>
        </w:rPr>
        <w:t xml:space="preserve"> </w:t>
      </w:r>
      <w:r w:rsidRPr="00A15991">
        <w:rPr>
          <w:rFonts w:asciiTheme="majorBidi" w:hAnsiTheme="majorBidi" w:cstheme="majorBidi"/>
          <w:sz w:val="24"/>
          <w:szCs w:val="24"/>
        </w:rPr>
        <w:t>d’acides gras.</w:t>
      </w:r>
    </w:p>
    <w:p w:rsidR="00816DA5" w:rsidRPr="00A15991" w:rsidRDefault="005C3184" w:rsidP="00491DEF">
      <w:pPr>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sz w:val="24"/>
          <w:szCs w:val="24"/>
        </w:rPr>
        <w:t>Le glycérol est un trialcool qui présente 3 positions d’estérification : 2 sont identiques sur l’alcool I :</w:t>
      </w:r>
      <w:r w:rsidR="00EA4777" w:rsidRPr="00A15991">
        <w:rPr>
          <w:rFonts w:asciiTheme="majorBidi" w:hAnsiTheme="majorBidi" w:cstheme="majorBidi"/>
          <w:sz w:val="24"/>
          <w:szCs w:val="24"/>
        </w:rPr>
        <w:t xml:space="preserve"> </w:t>
      </w:r>
      <w:r w:rsidRPr="00A15991">
        <w:rPr>
          <w:rFonts w:asciiTheme="majorBidi" w:hAnsiTheme="majorBidi" w:cstheme="majorBidi"/>
          <w:sz w:val="24"/>
          <w:szCs w:val="24"/>
        </w:rPr>
        <w:t>α</w:t>
      </w:r>
      <w:r w:rsidRPr="00A15991">
        <w:rPr>
          <w:rFonts w:ascii="Calibri" w:hAnsi="Calibri" w:cstheme="majorBidi"/>
          <w:sz w:val="24"/>
          <w:szCs w:val="24"/>
        </w:rPr>
        <w:t>‐</w:t>
      </w:r>
      <w:r w:rsidRPr="00A15991">
        <w:rPr>
          <w:rFonts w:asciiTheme="majorBidi" w:hAnsiTheme="majorBidi" w:cstheme="majorBidi"/>
          <w:sz w:val="24"/>
          <w:szCs w:val="24"/>
        </w:rPr>
        <w:t>ά et 1 sur l’alcool II : β</w:t>
      </w:r>
    </w:p>
    <w:p w:rsidR="00821358" w:rsidRPr="00A15991" w:rsidRDefault="00821358" w:rsidP="00491DEF">
      <w:pPr>
        <w:tabs>
          <w:tab w:val="left" w:pos="567"/>
        </w:tabs>
        <w:autoSpaceDE w:val="0"/>
        <w:autoSpaceDN w:val="0"/>
        <w:adjustRightInd w:val="0"/>
        <w:spacing w:after="0"/>
        <w:rPr>
          <w:rFonts w:asciiTheme="majorBidi" w:hAnsiTheme="majorBidi" w:cstheme="majorBidi"/>
          <w:b/>
          <w:bCs/>
          <w:color w:val="000000"/>
          <w:sz w:val="24"/>
          <w:szCs w:val="24"/>
        </w:rPr>
      </w:pPr>
    </w:p>
    <w:p w:rsidR="000A52B7" w:rsidRPr="00A15991" w:rsidRDefault="000A52B7" w:rsidP="00491DEF">
      <w:pPr>
        <w:tabs>
          <w:tab w:val="left" w:pos="567"/>
        </w:tabs>
        <w:autoSpaceDE w:val="0"/>
        <w:autoSpaceDN w:val="0"/>
        <w:adjustRightInd w:val="0"/>
        <w:spacing w:after="0"/>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lastRenderedPageBreak/>
        <w:t xml:space="preserve">  </w:t>
      </w:r>
    </w:p>
    <w:p w:rsidR="000A52B7" w:rsidRPr="00A15991" w:rsidRDefault="000A52B7" w:rsidP="00491DEF">
      <w:pPr>
        <w:tabs>
          <w:tab w:val="left" w:pos="567"/>
        </w:tabs>
        <w:autoSpaceDE w:val="0"/>
        <w:autoSpaceDN w:val="0"/>
        <w:adjustRightInd w:val="0"/>
        <w:spacing w:after="0"/>
        <w:rPr>
          <w:rFonts w:asciiTheme="majorBidi" w:hAnsiTheme="majorBidi" w:cstheme="majorBidi"/>
          <w:b/>
          <w:bCs/>
          <w:color w:val="000000"/>
          <w:sz w:val="24"/>
          <w:szCs w:val="24"/>
        </w:rPr>
      </w:pPr>
      <w:r w:rsidRPr="00A15991">
        <w:rPr>
          <w:rFonts w:asciiTheme="majorBidi" w:hAnsiTheme="majorBidi" w:cstheme="majorBidi"/>
          <w:b/>
          <w:bCs/>
          <w:noProof/>
          <w:color w:val="000000"/>
          <w:sz w:val="24"/>
          <w:szCs w:val="24"/>
        </w:rPr>
        <w:drawing>
          <wp:anchor distT="0" distB="0" distL="114300" distR="114300" simplePos="0" relativeHeight="251658240" behindDoc="1" locked="0" layoutInCell="1" allowOverlap="1">
            <wp:simplePos x="0" y="0"/>
            <wp:positionH relativeFrom="column">
              <wp:posOffset>1844675</wp:posOffset>
            </wp:positionH>
            <wp:positionV relativeFrom="paragraph">
              <wp:posOffset>-598170</wp:posOffset>
            </wp:positionV>
            <wp:extent cx="1628775" cy="163893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8775" cy="1638935"/>
                    </a:xfrm>
                    <a:prstGeom prst="rect">
                      <a:avLst/>
                    </a:prstGeom>
                    <a:noFill/>
                    <a:ln w="9525">
                      <a:noFill/>
                      <a:miter lim="800000"/>
                      <a:headEnd/>
                      <a:tailEnd/>
                    </a:ln>
                  </pic:spPr>
                </pic:pic>
              </a:graphicData>
            </a:graphic>
          </wp:anchor>
        </w:drawing>
      </w:r>
    </w:p>
    <w:p w:rsidR="000A52B7" w:rsidRPr="00A15991" w:rsidRDefault="000A52B7" w:rsidP="00491DEF">
      <w:pPr>
        <w:tabs>
          <w:tab w:val="left" w:pos="567"/>
        </w:tabs>
        <w:autoSpaceDE w:val="0"/>
        <w:autoSpaceDN w:val="0"/>
        <w:adjustRightInd w:val="0"/>
        <w:spacing w:after="0"/>
        <w:rPr>
          <w:rFonts w:asciiTheme="majorBidi" w:hAnsiTheme="majorBidi" w:cstheme="majorBidi"/>
          <w:b/>
          <w:bCs/>
          <w:color w:val="000000"/>
          <w:sz w:val="24"/>
          <w:szCs w:val="24"/>
        </w:rPr>
      </w:pPr>
    </w:p>
    <w:p w:rsidR="000A52B7" w:rsidRPr="00A15991" w:rsidRDefault="000A52B7" w:rsidP="00491DEF">
      <w:pPr>
        <w:tabs>
          <w:tab w:val="left" w:pos="567"/>
        </w:tabs>
        <w:autoSpaceDE w:val="0"/>
        <w:autoSpaceDN w:val="0"/>
        <w:adjustRightInd w:val="0"/>
        <w:spacing w:after="0"/>
        <w:rPr>
          <w:rFonts w:asciiTheme="majorBidi" w:hAnsiTheme="majorBidi" w:cstheme="majorBidi"/>
          <w:b/>
          <w:bCs/>
          <w:color w:val="000000"/>
          <w:sz w:val="24"/>
          <w:szCs w:val="24"/>
        </w:rPr>
      </w:pPr>
    </w:p>
    <w:p w:rsidR="000A52B7" w:rsidRPr="00A15991" w:rsidRDefault="000A52B7" w:rsidP="00491DEF">
      <w:pPr>
        <w:tabs>
          <w:tab w:val="left" w:pos="567"/>
        </w:tabs>
        <w:autoSpaceDE w:val="0"/>
        <w:autoSpaceDN w:val="0"/>
        <w:adjustRightInd w:val="0"/>
        <w:spacing w:after="0"/>
        <w:rPr>
          <w:rFonts w:asciiTheme="majorBidi" w:hAnsiTheme="majorBidi" w:cstheme="majorBidi"/>
          <w:b/>
          <w:bCs/>
          <w:color w:val="000000"/>
          <w:sz w:val="24"/>
          <w:szCs w:val="24"/>
        </w:rPr>
      </w:pPr>
    </w:p>
    <w:p w:rsidR="00816DA5" w:rsidRPr="00A15991" w:rsidRDefault="00821358" w:rsidP="00491DEF">
      <w:pPr>
        <w:tabs>
          <w:tab w:val="left" w:pos="567"/>
        </w:tabs>
        <w:autoSpaceDE w:val="0"/>
        <w:autoSpaceDN w:val="0"/>
        <w:adjustRightInd w:val="0"/>
        <w:spacing w:after="0"/>
        <w:jc w:val="center"/>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 xml:space="preserve">Figure : structure de </w:t>
      </w:r>
      <w:r w:rsidR="000A52B7" w:rsidRPr="00A15991">
        <w:rPr>
          <w:rFonts w:asciiTheme="majorBidi" w:hAnsiTheme="majorBidi" w:cstheme="majorBidi"/>
          <w:b/>
          <w:bCs/>
          <w:color w:val="000000"/>
          <w:sz w:val="24"/>
          <w:szCs w:val="24"/>
        </w:rPr>
        <w:t>glycérol</w:t>
      </w:r>
    </w:p>
    <w:p w:rsidR="00EA4777" w:rsidRPr="00A15991" w:rsidRDefault="00EA4777"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Selon :</w:t>
      </w:r>
    </w:p>
    <w:p w:rsidR="00EA4777" w:rsidRPr="00A15991" w:rsidRDefault="00EA4777" w:rsidP="00491DEF">
      <w:pPr>
        <w:autoSpaceDE w:val="0"/>
        <w:autoSpaceDN w:val="0"/>
        <w:adjustRightInd w:val="0"/>
        <w:spacing w:after="0"/>
        <w:jc w:val="both"/>
        <w:rPr>
          <w:rFonts w:asciiTheme="majorBidi" w:hAnsiTheme="majorBidi" w:cstheme="majorBidi"/>
          <w:sz w:val="24"/>
          <w:szCs w:val="24"/>
        </w:rPr>
      </w:pPr>
      <w:r w:rsidRPr="00A15991">
        <w:rPr>
          <w:rFonts w:ascii="Calibri" w:hAnsi="Calibri" w:cstheme="majorBidi"/>
          <w:sz w:val="24"/>
          <w:szCs w:val="24"/>
        </w:rPr>
        <w:t>‐</w:t>
      </w:r>
      <w:r w:rsidRPr="00A15991">
        <w:rPr>
          <w:rFonts w:asciiTheme="majorBidi" w:hAnsiTheme="majorBidi" w:cstheme="majorBidi"/>
          <w:sz w:val="24"/>
          <w:szCs w:val="24"/>
        </w:rPr>
        <w:t xml:space="preserve"> Nature des AG qui estérifient la fonction alcool de glycérol on parlera de :</w:t>
      </w:r>
    </w:p>
    <w:p w:rsidR="00EA4777" w:rsidRPr="00A15991" w:rsidRDefault="00EA4777" w:rsidP="00491DEF">
      <w:pPr>
        <w:pStyle w:val="Paragraphedeliste"/>
        <w:numPr>
          <w:ilvl w:val="0"/>
          <w:numId w:val="3"/>
        </w:numPr>
        <w:autoSpaceDE w:val="0"/>
        <w:autoSpaceDN w:val="0"/>
        <w:adjustRightInd w:val="0"/>
        <w:spacing w:after="0"/>
        <w:jc w:val="both"/>
        <w:rPr>
          <w:rFonts w:asciiTheme="majorBidi" w:hAnsiTheme="majorBidi" w:cstheme="majorBidi"/>
          <w:sz w:val="24"/>
          <w:szCs w:val="24"/>
        </w:rPr>
      </w:pPr>
      <w:proofErr w:type="spellStart"/>
      <w:r w:rsidRPr="00A15991">
        <w:rPr>
          <w:rFonts w:asciiTheme="majorBidi" w:hAnsiTheme="majorBidi" w:cstheme="majorBidi"/>
          <w:sz w:val="24"/>
          <w:szCs w:val="24"/>
        </w:rPr>
        <w:t>Acylglycérole</w:t>
      </w:r>
      <w:proofErr w:type="spellEnd"/>
      <w:r w:rsidRPr="00A15991">
        <w:rPr>
          <w:rFonts w:asciiTheme="majorBidi" w:hAnsiTheme="majorBidi" w:cstheme="majorBidi"/>
          <w:sz w:val="24"/>
          <w:szCs w:val="24"/>
        </w:rPr>
        <w:t xml:space="preserve"> homogène : Si les 3 AG sont identiques ;</w:t>
      </w:r>
    </w:p>
    <w:p w:rsidR="00EA4777" w:rsidRPr="00A15991" w:rsidRDefault="00EA4777" w:rsidP="00491DEF">
      <w:pPr>
        <w:pStyle w:val="Paragraphedeliste"/>
        <w:numPr>
          <w:ilvl w:val="0"/>
          <w:numId w:val="3"/>
        </w:numPr>
        <w:autoSpaceDE w:val="0"/>
        <w:autoSpaceDN w:val="0"/>
        <w:adjustRightInd w:val="0"/>
        <w:spacing w:after="0"/>
        <w:jc w:val="both"/>
        <w:rPr>
          <w:rFonts w:asciiTheme="majorBidi" w:hAnsiTheme="majorBidi" w:cstheme="majorBidi"/>
          <w:sz w:val="24"/>
          <w:szCs w:val="24"/>
        </w:rPr>
      </w:pPr>
      <w:proofErr w:type="spellStart"/>
      <w:r w:rsidRPr="00A15991">
        <w:rPr>
          <w:rFonts w:asciiTheme="majorBidi" w:hAnsiTheme="majorBidi" w:cstheme="majorBidi"/>
          <w:sz w:val="24"/>
          <w:szCs w:val="24"/>
        </w:rPr>
        <w:t>Acylglycérole</w:t>
      </w:r>
      <w:proofErr w:type="spellEnd"/>
      <w:r w:rsidRPr="00A15991">
        <w:rPr>
          <w:rFonts w:asciiTheme="majorBidi" w:hAnsiTheme="majorBidi" w:cstheme="majorBidi"/>
          <w:sz w:val="24"/>
          <w:szCs w:val="24"/>
        </w:rPr>
        <w:t xml:space="preserve"> hétérogène (mixte) : 3 AG sont différents.</w:t>
      </w:r>
    </w:p>
    <w:p w:rsidR="00EA4777" w:rsidRPr="00A15991" w:rsidRDefault="00EA4777" w:rsidP="00491DEF">
      <w:pPr>
        <w:tabs>
          <w:tab w:val="left" w:pos="567"/>
        </w:tabs>
        <w:autoSpaceDE w:val="0"/>
        <w:autoSpaceDN w:val="0"/>
        <w:adjustRightInd w:val="0"/>
        <w:spacing w:after="0"/>
        <w:jc w:val="both"/>
        <w:rPr>
          <w:rFonts w:asciiTheme="majorBidi" w:hAnsiTheme="majorBidi" w:cstheme="majorBidi"/>
          <w:sz w:val="24"/>
          <w:szCs w:val="24"/>
        </w:rPr>
      </w:pPr>
      <w:r w:rsidRPr="00A15991">
        <w:rPr>
          <w:rFonts w:ascii="Calibri" w:hAnsi="Calibri" w:cstheme="majorBidi"/>
          <w:sz w:val="24"/>
          <w:szCs w:val="24"/>
        </w:rPr>
        <w:t>‐</w:t>
      </w:r>
      <w:r w:rsidRPr="00A15991">
        <w:rPr>
          <w:rFonts w:asciiTheme="majorBidi" w:hAnsiTheme="majorBidi" w:cstheme="majorBidi"/>
          <w:sz w:val="24"/>
          <w:szCs w:val="24"/>
        </w:rPr>
        <w:t xml:space="preserve"> Nombre et position d’estérification on parlera de : </w:t>
      </w:r>
    </w:p>
    <w:p w:rsidR="00EA4777" w:rsidRPr="00A15991" w:rsidRDefault="00EA4777" w:rsidP="00491DEF">
      <w:pPr>
        <w:pStyle w:val="Paragraphedeliste"/>
        <w:numPr>
          <w:ilvl w:val="0"/>
          <w:numId w:val="5"/>
        </w:num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α ou β </w:t>
      </w:r>
      <w:proofErr w:type="spellStart"/>
      <w:r w:rsidRPr="00A15991">
        <w:rPr>
          <w:rFonts w:asciiTheme="majorBidi" w:hAnsiTheme="majorBidi" w:cstheme="majorBidi"/>
          <w:sz w:val="24"/>
          <w:szCs w:val="24"/>
        </w:rPr>
        <w:t>monoacylglycérol</w:t>
      </w:r>
      <w:proofErr w:type="spellEnd"/>
      <w:r w:rsidRPr="00A15991">
        <w:rPr>
          <w:rFonts w:asciiTheme="majorBidi" w:hAnsiTheme="majorBidi" w:cstheme="majorBidi"/>
          <w:sz w:val="24"/>
          <w:szCs w:val="24"/>
        </w:rPr>
        <w:t xml:space="preserve"> ;</w:t>
      </w:r>
    </w:p>
    <w:p w:rsidR="00EA4777" w:rsidRPr="00A15991" w:rsidRDefault="00EA4777" w:rsidP="00491DEF">
      <w:pPr>
        <w:pStyle w:val="Paragraphedeliste"/>
        <w:numPr>
          <w:ilvl w:val="0"/>
          <w:numId w:val="5"/>
        </w:numPr>
        <w:tabs>
          <w:tab w:val="left" w:pos="567"/>
        </w:tabs>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(α</w:t>
      </w:r>
      <w:r w:rsidRPr="00A15991">
        <w:rPr>
          <w:rFonts w:ascii="Calibri" w:hAnsi="Calibri" w:cstheme="majorBidi"/>
          <w:sz w:val="24"/>
          <w:szCs w:val="24"/>
        </w:rPr>
        <w:t>‐</w:t>
      </w:r>
      <w:r w:rsidRPr="00A15991">
        <w:rPr>
          <w:rFonts w:asciiTheme="majorBidi" w:hAnsiTheme="majorBidi" w:cstheme="majorBidi"/>
          <w:sz w:val="24"/>
          <w:szCs w:val="24"/>
        </w:rPr>
        <w:t>ά) ou (α</w:t>
      </w:r>
      <w:r w:rsidRPr="00A15991">
        <w:rPr>
          <w:rFonts w:ascii="Calibri" w:hAnsi="Calibri" w:cstheme="majorBidi"/>
          <w:sz w:val="24"/>
          <w:szCs w:val="24"/>
        </w:rPr>
        <w:t>‐</w:t>
      </w:r>
      <w:r w:rsidRPr="00A15991">
        <w:rPr>
          <w:rFonts w:asciiTheme="majorBidi" w:hAnsiTheme="majorBidi" w:cstheme="majorBidi"/>
          <w:sz w:val="24"/>
          <w:szCs w:val="24"/>
        </w:rPr>
        <w:t xml:space="preserve">β) : </w:t>
      </w:r>
      <w:proofErr w:type="spellStart"/>
      <w:r w:rsidRPr="00A15991">
        <w:rPr>
          <w:rFonts w:asciiTheme="majorBidi" w:hAnsiTheme="majorBidi" w:cstheme="majorBidi"/>
          <w:sz w:val="24"/>
          <w:szCs w:val="24"/>
        </w:rPr>
        <w:t>Diacylglycérol</w:t>
      </w:r>
      <w:proofErr w:type="spellEnd"/>
      <w:r w:rsidRPr="00A15991">
        <w:rPr>
          <w:rFonts w:asciiTheme="majorBidi" w:hAnsiTheme="majorBidi" w:cstheme="majorBidi"/>
          <w:sz w:val="24"/>
          <w:szCs w:val="24"/>
        </w:rPr>
        <w:t xml:space="preserve"> ;</w:t>
      </w:r>
    </w:p>
    <w:p w:rsidR="00EA4777" w:rsidRPr="00A15991" w:rsidRDefault="00EA4777" w:rsidP="00491DEF">
      <w:pPr>
        <w:pStyle w:val="Paragraphedeliste"/>
        <w:numPr>
          <w:ilvl w:val="0"/>
          <w:numId w:val="5"/>
        </w:numPr>
        <w:tabs>
          <w:tab w:val="left" w:pos="567"/>
        </w:tabs>
        <w:autoSpaceDE w:val="0"/>
        <w:autoSpaceDN w:val="0"/>
        <w:adjustRightInd w:val="0"/>
        <w:spacing w:after="0"/>
        <w:jc w:val="both"/>
        <w:rPr>
          <w:rFonts w:asciiTheme="majorBidi" w:hAnsiTheme="majorBidi" w:cstheme="majorBidi"/>
          <w:b/>
          <w:bCs/>
          <w:color w:val="000000"/>
          <w:sz w:val="24"/>
          <w:szCs w:val="24"/>
        </w:rPr>
      </w:pPr>
      <w:r w:rsidRPr="00A15991">
        <w:rPr>
          <w:rFonts w:asciiTheme="majorBidi" w:hAnsiTheme="majorBidi" w:cstheme="majorBidi"/>
          <w:sz w:val="24"/>
          <w:szCs w:val="24"/>
        </w:rPr>
        <w:t xml:space="preserve">(α, β, ά) : </w:t>
      </w:r>
      <w:proofErr w:type="spellStart"/>
      <w:r w:rsidRPr="00A15991">
        <w:rPr>
          <w:rFonts w:asciiTheme="majorBidi" w:hAnsiTheme="majorBidi" w:cstheme="majorBidi"/>
          <w:sz w:val="24"/>
          <w:szCs w:val="24"/>
        </w:rPr>
        <w:t>Triacylglycérol</w:t>
      </w:r>
      <w:proofErr w:type="spellEnd"/>
      <w:r w:rsidRPr="00A15991">
        <w:rPr>
          <w:rFonts w:asciiTheme="majorBidi" w:hAnsiTheme="majorBidi" w:cstheme="majorBidi"/>
          <w:sz w:val="24"/>
          <w:szCs w:val="24"/>
        </w:rPr>
        <w:t xml:space="preserve"> homogène ou hétérogène.</w:t>
      </w:r>
    </w:p>
    <w:p w:rsidR="00CD7F5A" w:rsidRPr="00A15991" w:rsidRDefault="00CD7F5A"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 xml:space="preserve">d. </w:t>
      </w:r>
      <w:proofErr w:type="spellStart"/>
      <w:r w:rsidRPr="00A15991">
        <w:rPr>
          <w:rFonts w:asciiTheme="majorBidi" w:hAnsiTheme="majorBidi" w:cstheme="majorBidi"/>
          <w:b/>
          <w:bCs/>
          <w:sz w:val="24"/>
          <w:szCs w:val="24"/>
        </w:rPr>
        <w:t>Phosphoglycérides</w:t>
      </w:r>
      <w:proofErr w:type="spellEnd"/>
      <w:r w:rsidRPr="00A15991">
        <w:rPr>
          <w:rFonts w:asciiTheme="majorBidi" w:hAnsiTheme="majorBidi" w:cstheme="majorBidi"/>
          <w:b/>
          <w:bCs/>
          <w:sz w:val="24"/>
          <w:szCs w:val="24"/>
        </w:rPr>
        <w:t xml:space="preserve"> (</w:t>
      </w:r>
      <w:proofErr w:type="spellStart"/>
      <w:r w:rsidRPr="00A15991">
        <w:rPr>
          <w:rFonts w:asciiTheme="majorBidi" w:hAnsiTheme="majorBidi" w:cstheme="majorBidi"/>
          <w:b/>
          <w:bCs/>
          <w:sz w:val="24"/>
          <w:szCs w:val="24"/>
        </w:rPr>
        <w:t>Glycéro</w:t>
      </w:r>
      <w:r w:rsidRPr="00A15991">
        <w:rPr>
          <w:rFonts w:ascii="Cambria Math" w:hAnsi="Cambria Math" w:cstheme="majorBidi"/>
          <w:b/>
          <w:bCs/>
          <w:sz w:val="24"/>
          <w:szCs w:val="24"/>
        </w:rPr>
        <w:t>‐</w:t>
      </w:r>
      <w:r w:rsidRPr="00A15991">
        <w:rPr>
          <w:rFonts w:asciiTheme="majorBidi" w:hAnsiTheme="majorBidi" w:cstheme="majorBidi"/>
          <w:b/>
          <w:bCs/>
          <w:sz w:val="24"/>
          <w:szCs w:val="24"/>
        </w:rPr>
        <w:t>phospholipides</w:t>
      </w:r>
      <w:proofErr w:type="spellEnd"/>
      <w:r w:rsidRPr="00A15991">
        <w:rPr>
          <w:rFonts w:asciiTheme="majorBidi" w:hAnsiTheme="majorBidi" w:cstheme="majorBidi"/>
          <w:b/>
          <w:bCs/>
          <w:sz w:val="24"/>
          <w:szCs w:val="24"/>
        </w:rPr>
        <w:t>) :</w:t>
      </w:r>
    </w:p>
    <w:p w:rsidR="00CD7F5A" w:rsidRPr="00A15991" w:rsidRDefault="00CD7F5A" w:rsidP="00491DEF">
      <w:pPr>
        <w:pStyle w:val="Paragraphedeliste"/>
        <w:numPr>
          <w:ilvl w:val="0"/>
          <w:numId w:val="5"/>
        </w:numPr>
        <w:tabs>
          <w:tab w:val="left" w:pos="567"/>
        </w:tabs>
        <w:autoSpaceDE w:val="0"/>
        <w:autoSpaceDN w:val="0"/>
        <w:adjustRightInd w:val="0"/>
        <w:spacing w:after="0"/>
        <w:jc w:val="both"/>
        <w:rPr>
          <w:rFonts w:asciiTheme="majorBidi" w:hAnsiTheme="majorBidi" w:cstheme="majorBidi"/>
          <w:b/>
          <w:bCs/>
          <w:color w:val="000000"/>
          <w:sz w:val="24"/>
          <w:szCs w:val="24"/>
        </w:rPr>
      </w:pPr>
      <w:r w:rsidRPr="00A15991">
        <w:rPr>
          <w:rFonts w:asciiTheme="majorBidi" w:hAnsiTheme="majorBidi" w:cstheme="majorBidi"/>
          <w:sz w:val="24"/>
          <w:szCs w:val="24"/>
        </w:rPr>
        <w:t>La formule générale est :</w:t>
      </w:r>
    </w:p>
    <w:p w:rsidR="00816DA5" w:rsidRPr="00A15991" w:rsidRDefault="00CD7F5A" w:rsidP="00491DEF">
      <w:pPr>
        <w:tabs>
          <w:tab w:val="left" w:pos="567"/>
        </w:tabs>
        <w:autoSpaceDE w:val="0"/>
        <w:autoSpaceDN w:val="0"/>
        <w:adjustRightInd w:val="0"/>
        <w:spacing w:after="0"/>
        <w:jc w:val="center"/>
        <w:rPr>
          <w:rFonts w:asciiTheme="majorBidi" w:hAnsiTheme="majorBidi" w:cstheme="majorBidi"/>
          <w:b/>
          <w:bCs/>
          <w:color w:val="000000"/>
          <w:sz w:val="24"/>
          <w:szCs w:val="24"/>
        </w:rPr>
      </w:pPr>
      <w:r w:rsidRPr="00A15991">
        <w:rPr>
          <w:rFonts w:asciiTheme="majorBidi" w:hAnsiTheme="majorBidi" w:cstheme="majorBidi"/>
          <w:b/>
          <w:bCs/>
          <w:noProof/>
          <w:color w:val="000000"/>
          <w:sz w:val="24"/>
          <w:szCs w:val="24"/>
        </w:rPr>
        <w:drawing>
          <wp:inline distT="0" distB="0" distL="0" distR="0">
            <wp:extent cx="3407410" cy="2026920"/>
            <wp:effectExtent l="19050" t="0" r="254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07410" cy="2026920"/>
                    </a:xfrm>
                    <a:prstGeom prst="rect">
                      <a:avLst/>
                    </a:prstGeom>
                    <a:noFill/>
                    <a:ln w="9525">
                      <a:noFill/>
                      <a:miter lim="800000"/>
                      <a:headEnd/>
                      <a:tailEnd/>
                    </a:ln>
                  </pic:spPr>
                </pic:pic>
              </a:graphicData>
            </a:graphic>
          </wp:inline>
        </w:drawing>
      </w:r>
    </w:p>
    <w:p w:rsidR="00816DA5" w:rsidRPr="00A15991" w:rsidRDefault="00816DA5" w:rsidP="00491DEF">
      <w:pPr>
        <w:tabs>
          <w:tab w:val="left" w:pos="567"/>
        </w:tabs>
        <w:autoSpaceDE w:val="0"/>
        <w:autoSpaceDN w:val="0"/>
        <w:adjustRightInd w:val="0"/>
        <w:spacing w:after="0"/>
        <w:jc w:val="both"/>
        <w:rPr>
          <w:rFonts w:asciiTheme="majorBidi" w:hAnsiTheme="majorBidi" w:cstheme="majorBidi"/>
          <w:b/>
          <w:bCs/>
          <w:color w:val="000000"/>
          <w:sz w:val="24"/>
          <w:szCs w:val="24"/>
        </w:rPr>
      </w:pP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Selon la nature de radicale X :</w:t>
      </w: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X=H : Acide </w:t>
      </w:r>
      <w:proofErr w:type="spellStart"/>
      <w:r w:rsidRPr="00A15991">
        <w:rPr>
          <w:rFonts w:asciiTheme="majorBidi" w:hAnsiTheme="majorBidi" w:cstheme="majorBidi"/>
          <w:sz w:val="24"/>
          <w:szCs w:val="24"/>
        </w:rPr>
        <w:t>phosphatidique</w:t>
      </w:r>
      <w:proofErr w:type="spellEnd"/>
      <w:r w:rsidRPr="00A15991">
        <w:rPr>
          <w:rFonts w:asciiTheme="majorBidi" w:hAnsiTheme="majorBidi" w:cstheme="majorBidi"/>
          <w:sz w:val="24"/>
          <w:szCs w:val="24"/>
        </w:rPr>
        <w:t xml:space="preserve"> ;</w:t>
      </w: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X= choline : Acide </w:t>
      </w:r>
      <w:proofErr w:type="spellStart"/>
      <w:r w:rsidRPr="00A15991">
        <w:rPr>
          <w:rFonts w:asciiTheme="majorBidi" w:hAnsiTheme="majorBidi" w:cstheme="majorBidi"/>
          <w:sz w:val="24"/>
          <w:szCs w:val="24"/>
        </w:rPr>
        <w:t>phosphatidylcholine</w:t>
      </w:r>
      <w:proofErr w:type="spellEnd"/>
      <w:r w:rsidRPr="00A15991">
        <w:rPr>
          <w:rFonts w:asciiTheme="majorBidi" w:hAnsiTheme="majorBidi" w:cstheme="majorBidi"/>
          <w:sz w:val="24"/>
          <w:szCs w:val="24"/>
        </w:rPr>
        <w:t xml:space="preserve"> (lécithine) ;</w:t>
      </w: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X= </w:t>
      </w:r>
      <w:proofErr w:type="spellStart"/>
      <w:r w:rsidRPr="00A15991">
        <w:rPr>
          <w:rFonts w:asciiTheme="majorBidi" w:hAnsiTheme="majorBidi" w:cstheme="majorBidi"/>
          <w:sz w:val="24"/>
          <w:szCs w:val="24"/>
        </w:rPr>
        <w:t>éthanolamine</w:t>
      </w:r>
      <w:proofErr w:type="spellEnd"/>
      <w:r w:rsidRPr="00A15991">
        <w:rPr>
          <w:rFonts w:asciiTheme="majorBidi" w:hAnsiTheme="majorBidi" w:cstheme="majorBidi"/>
          <w:sz w:val="24"/>
          <w:szCs w:val="24"/>
        </w:rPr>
        <w:t xml:space="preserve"> : Acide </w:t>
      </w:r>
      <w:proofErr w:type="spellStart"/>
      <w:r w:rsidRPr="00A15991">
        <w:rPr>
          <w:rFonts w:asciiTheme="majorBidi" w:hAnsiTheme="majorBidi" w:cstheme="majorBidi"/>
          <w:sz w:val="24"/>
          <w:szCs w:val="24"/>
        </w:rPr>
        <w:t>phosphatidyléthanolamine</w:t>
      </w:r>
      <w:proofErr w:type="spellEnd"/>
      <w:r w:rsidRPr="00A15991">
        <w:rPr>
          <w:rFonts w:asciiTheme="majorBidi" w:hAnsiTheme="majorBidi" w:cstheme="majorBidi"/>
          <w:sz w:val="24"/>
          <w:szCs w:val="24"/>
        </w:rPr>
        <w:t xml:space="preserve"> (</w:t>
      </w:r>
      <w:proofErr w:type="spellStart"/>
      <w:r w:rsidRPr="00A15991">
        <w:rPr>
          <w:rFonts w:asciiTheme="majorBidi" w:hAnsiTheme="majorBidi" w:cstheme="majorBidi"/>
          <w:sz w:val="24"/>
          <w:szCs w:val="24"/>
        </w:rPr>
        <w:t>céphaline</w:t>
      </w:r>
      <w:proofErr w:type="spellEnd"/>
      <w:r w:rsidRPr="00A15991">
        <w:rPr>
          <w:rFonts w:asciiTheme="majorBidi" w:hAnsiTheme="majorBidi" w:cstheme="majorBidi"/>
          <w:sz w:val="24"/>
          <w:szCs w:val="24"/>
        </w:rPr>
        <w:t>) ;</w:t>
      </w: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X= sérine : Acide </w:t>
      </w:r>
      <w:proofErr w:type="spellStart"/>
      <w:r w:rsidRPr="00A15991">
        <w:rPr>
          <w:rFonts w:asciiTheme="majorBidi" w:hAnsiTheme="majorBidi" w:cstheme="majorBidi"/>
          <w:sz w:val="24"/>
          <w:szCs w:val="24"/>
        </w:rPr>
        <w:t>phosphatidylsérine</w:t>
      </w:r>
      <w:proofErr w:type="spellEnd"/>
      <w:r w:rsidRPr="00A15991">
        <w:rPr>
          <w:rFonts w:asciiTheme="majorBidi" w:hAnsiTheme="majorBidi" w:cstheme="majorBidi"/>
          <w:sz w:val="24"/>
          <w:szCs w:val="24"/>
        </w:rPr>
        <w:t xml:space="preserve"> ;</w:t>
      </w:r>
    </w:p>
    <w:p w:rsidR="00CD7F5A"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X= </w:t>
      </w:r>
      <w:proofErr w:type="spellStart"/>
      <w:r w:rsidRPr="00A15991">
        <w:rPr>
          <w:rFonts w:asciiTheme="majorBidi" w:hAnsiTheme="majorBidi" w:cstheme="majorBidi"/>
          <w:sz w:val="24"/>
          <w:szCs w:val="24"/>
        </w:rPr>
        <w:t>inositol</w:t>
      </w:r>
      <w:proofErr w:type="spellEnd"/>
      <w:r w:rsidRPr="00A15991">
        <w:rPr>
          <w:rFonts w:asciiTheme="majorBidi" w:hAnsiTheme="majorBidi" w:cstheme="majorBidi"/>
          <w:sz w:val="24"/>
          <w:szCs w:val="24"/>
        </w:rPr>
        <w:t xml:space="preserve"> : Acide </w:t>
      </w:r>
      <w:proofErr w:type="spellStart"/>
      <w:r w:rsidRPr="00A15991">
        <w:rPr>
          <w:rFonts w:asciiTheme="majorBidi" w:hAnsiTheme="majorBidi" w:cstheme="majorBidi"/>
          <w:sz w:val="24"/>
          <w:szCs w:val="24"/>
        </w:rPr>
        <w:t>phosphatidylinositol</w:t>
      </w:r>
      <w:proofErr w:type="spellEnd"/>
    </w:p>
    <w:p w:rsidR="00816DA5" w:rsidRPr="00A15991" w:rsidRDefault="00CD7F5A"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b/>
          <w:bCs/>
          <w:sz w:val="24"/>
          <w:szCs w:val="24"/>
        </w:rPr>
        <w:t>Re</w:t>
      </w:r>
      <w:r w:rsidR="00BC70CD">
        <w:rPr>
          <w:rFonts w:asciiTheme="majorBidi" w:hAnsiTheme="majorBidi" w:cstheme="majorBidi"/>
          <w:b/>
          <w:bCs/>
          <w:sz w:val="24"/>
          <w:szCs w:val="24"/>
        </w:rPr>
        <w:t>mar</w:t>
      </w:r>
      <w:r w:rsidRPr="00A15991">
        <w:rPr>
          <w:rFonts w:asciiTheme="majorBidi" w:hAnsiTheme="majorBidi" w:cstheme="majorBidi"/>
          <w:b/>
          <w:bCs/>
          <w:sz w:val="24"/>
          <w:szCs w:val="24"/>
        </w:rPr>
        <w:t>q</w:t>
      </w:r>
      <w:r w:rsidR="00BC70CD">
        <w:rPr>
          <w:rFonts w:asciiTheme="majorBidi" w:hAnsiTheme="majorBidi" w:cstheme="majorBidi"/>
          <w:b/>
          <w:bCs/>
          <w:sz w:val="24"/>
          <w:szCs w:val="24"/>
        </w:rPr>
        <w:t>ue</w:t>
      </w:r>
      <w:r w:rsidRPr="00A15991">
        <w:rPr>
          <w:rFonts w:asciiTheme="majorBidi" w:hAnsiTheme="majorBidi" w:cstheme="majorBidi"/>
          <w:b/>
          <w:bCs/>
          <w:sz w:val="24"/>
          <w:szCs w:val="24"/>
        </w:rPr>
        <w:t xml:space="preserve"> </w:t>
      </w:r>
      <w:r w:rsidRPr="00A15991">
        <w:rPr>
          <w:rFonts w:asciiTheme="majorBidi" w:hAnsiTheme="majorBidi" w:cstheme="majorBidi"/>
          <w:sz w:val="24"/>
          <w:szCs w:val="24"/>
        </w:rPr>
        <w:t>: Si à une fonc</w:t>
      </w:r>
      <w:r w:rsidR="00502404">
        <w:rPr>
          <w:rFonts w:asciiTheme="majorBidi" w:hAnsiTheme="majorBidi" w:cstheme="majorBidi"/>
          <w:sz w:val="24"/>
          <w:szCs w:val="24"/>
        </w:rPr>
        <w:t>tion de glycérol on remplace l’acide gras</w:t>
      </w:r>
      <w:r w:rsidRPr="00A15991">
        <w:rPr>
          <w:rFonts w:asciiTheme="majorBidi" w:hAnsiTheme="majorBidi" w:cstheme="majorBidi"/>
          <w:sz w:val="24"/>
          <w:szCs w:val="24"/>
        </w:rPr>
        <w:t xml:space="preserve"> par un aldéhyde à long chaine carbonée on obtient un </w:t>
      </w:r>
      <w:proofErr w:type="spellStart"/>
      <w:r w:rsidRPr="00A15991">
        <w:rPr>
          <w:rFonts w:asciiTheme="majorBidi" w:hAnsiTheme="majorBidi" w:cstheme="majorBidi"/>
          <w:sz w:val="24"/>
          <w:szCs w:val="24"/>
        </w:rPr>
        <w:t>plasmogène</w:t>
      </w:r>
      <w:proofErr w:type="spellEnd"/>
      <w:r w:rsidRPr="00A15991">
        <w:rPr>
          <w:rFonts w:asciiTheme="majorBidi" w:hAnsiTheme="majorBidi" w:cstheme="majorBidi"/>
          <w:sz w:val="24"/>
          <w:szCs w:val="24"/>
        </w:rPr>
        <w:t>.</w:t>
      </w:r>
    </w:p>
    <w:p w:rsidR="00300AFC" w:rsidRPr="00A15991" w:rsidRDefault="00300AFC" w:rsidP="00491DEF">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 xml:space="preserve">e. </w:t>
      </w:r>
      <w:proofErr w:type="spellStart"/>
      <w:r w:rsidR="000A52B7" w:rsidRPr="00A15991">
        <w:rPr>
          <w:rFonts w:asciiTheme="majorBidi" w:hAnsiTheme="majorBidi" w:cstheme="majorBidi"/>
          <w:b/>
          <w:bCs/>
          <w:sz w:val="24"/>
          <w:szCs w:val="24"/>
        </w:rPr>
        <w:t>Sphingolipides</w:t>
      </w:r>
      <w:proofErr w:type="spellEnd"/>
      <w:r w:rsidR="000A52B7" w:rsidRPr="00A15991">
        <w:rPr>
          <w:rFonts w:asciiTheme="majorBidi" w:hAnsiTheme="majorBidi" w:cstheme="majorBidi"/>
          <w:b/>
          <w:bCs/>
          <w:sz w:val="24"/>
          <w:szCs w:val="24"/>
        </w:rPr>
        <w:t xml:space="preserve"> et glycolipides:</w:t>
      </w:r>
    </w:p>
    <w:p w:rsidR="00300AFC" w:rsidRPr="00A15991" w:rsidRDefault="00300AFC"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La formule générale est :</w:t>
      </w:r>
    </w:p>
    <w:p w:rsidR="00300AFC" w:rsidRPr="00A15991" w:rsidRDefault="00300AFC" w:rsidP="00491DEF">
      <w:pPr>
        <w:autoSpaceDE w:val="0"/>
        <w:autoSpaceDN w:val="0"/>
        <w:adjustRightInd w:val="0"/>
        <w:spacing w:after="0"/>
        <w:jc w:val="both"/>
        <w:rPr>
          <w:rFonts w:asciiTheme="majorBidi" w:hAnsiTheme="majorBidi" w:cstheme="majorBidi"/>
          <w:b/>
          <w:bCs/>
          <w:color w:val="000000"/>
          <w:sz w:val="24"/>
          <w:szCs w:val="24"/>
        </w:rPr>
      </w:pPr>
      <w:r w:rsidRPr="00A15991">
        <w:rPr>
          <w:rFonts w:asciiTheme="majorBidi" w:hAnsiTheme="majorBidi" w:cstheme="majorBidi"/>
          <w:b/>
          <w:bCs/>
          <w:noProof/>
          <w:color w:val="000000"/>
          <w:sz w:val="24"/>
          <w:szCs w:val="24"/>
        </w:rPr>
        <w:lastRenderedPageBreak/>
        <w:drawing>
          <wp:inline distT="0" distB="0" distL="0" distR="0">
            <wp:extent cx="4149090" cy="1405890"/>
            <wp:effectExtent l="19050" t="0" r="381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49090" cy="1405890"/>
                    </a:xfrm>
                    <a:prstGeom prst="rect">
                      <a:avLst/>
                    </a:prstGeom>
                    <a:noFill/>
                    <a:ln w="9525">
                      <a:noFill/>
                      <a:miter lim="800000"/>
                      <a:headEnd/>
                      <a:tailEnd/>
                    </a:ln>
                  </pic:spPr>
                </pic:pic>
              </a:graphicData>
            </a:graphic>
          </wp:inline>
        </w:drawing>
      </w:r>
    </w:p>
    <w:p w:rsidR="005D0156" w:rsidRPr="00A15991" w:rsidRDefault="005D0156" w:rsidP="00491DEF">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Si H* = hexose : Glycolipide ; Si H* = galactose : Cérébroside</w:t>
      </w:r>
    </w:p>
    <w:p w:rsidR="00466348" w:rsidRPr="00A15991" w:rsidRDefault="00466348" w:rsidP="00D30B3C">
      <w:pPr>
        <w:autoSpaceDE w:val="0"/>
        <w:autoSpaceDN w:val="0"/>
        <w:adjustRightInd w:val="0"/>
        <w:spacing w:after="0" w:line="240" w:lineRule="auto"/>
        <w:rPr>
          <w:rFonts w:asciiTheme="majorBidi" w:eastAsia="Times-Roman" w:hAnsiTheme="majorBidi" w:cstheme="majorBidi"/>
          <w:sz w:val="24"/>
          <w:szCs w:val="24"/>
        </w:rPr>
      </w:pPr>
    </w:p>
    <w:p w:rsidR="00AC49A3" w:rsidRPr="00A15991" w:rsidRDefault="00142042" w:rsidP="00142042">
      <w:pPr>
        <w:tabs>
          <w:tab w:val="left" w:pos="567"/>
        </w:tabs>
        <w:autoSpaceDE w:val="0"/>
        <w:autoSpaceDN w:val="0"/>
        <w:adjustRightInd w:val="0"/>
        <w:spacing w:after="0"/>
        <w:jc w:val="both"/>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I. Méthodes</w:t>
      </w:r>
      <w:r w:rsidR="00AC49A3" w:rsidRPr="00A15991">
        <w:rPr>
          <w:rFonts w:asciiTheme="majorBidi" w:hAnsiTheme="majorBidi" w:cstheme="majorBidi"/>
          <w:b/>
          <w:bCs/>
          <w:color w:val="000000"/>
          <w:sz w:val="24"/>
          <w:szCs w:val="24"/>
        </w:rPr>
        <w:t xml:space="preserve"> de dosage des lipides </w:t>
      </w:r>
    </w:p>
    <w:p w:rsidR="00757DC4" w:rsidRPr="00A15991" w:rsidRDefault="00142042" w:rsidP="00142042">
      <w:pPr>
        <w:tabs>
          <w:tab w:val="left" w:pos="567"/>
        </w:tabs>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I.1.</w:t>
      </w:r>
      <w:r w:rsidR="00757DC4" w:rsidRPr="00A15991">
        <w:rPr>
          <w:rFonts w:asciiTheme="majorBidi" w:hAnsiTheme="majorBidi" w:cstheme="majorBidi"/>
          <w:b/>
          <w:bCs/>
          <w:sz w:val="24"/>
          <w:szCs w:val="24"/>
        </w:rPr>
        <w:t>Dosage des lipides totaux (ou matière grasse totale)</w:t>
      </w:r>
    </w:p>
    <w:p w:rsidR="00FC6560" w:rsidRPr="00A15991" w:rsidRDefault="00FC6560" w:rsidP="00B765D0">
      <w:pPr>
        <w:tabs>
          <w:tab w:val="left" w:pos="567"/>
        </w:tabs>
        <w:autoSpaceDE w:val="0"/>
        <w:autoSpaceDN w:val="0"/>
        <w:adjustRightInd w:val="0"/>
        <w:spacing w:after="0"/>
        <w:jc w:val="both"/>
        <w:rPr>
          <w:rFonts w:asciiTheme="majorBidi" w:hAnsiTheme="majorBidi" w:cstheme="majorBidi"/>
          <w:b/>
          <w:bCs/>
          <w:color w:val="000000"/>
          <w:sz w:val="24"/>
          <w:szCs w:val="24"/>
        </w:rPr>
      </w:pPr>
      <w:r w:rsidRPr="00A15991">
        <w:rPr>
          <w:rFonts w:asciiTheme="majorBidi" w:hAnsiTheme="majorBidi" w:cstheme="majorBidi"/>
          <w:color w:val="000000"/>
          <w:sz w:val="24"/>
          <w:szCs w:val="24"/>
        </w:rPr>
        <w:t xml:space="preserve">L’extrait lipidique est définit comme étant l’ensemble des substances reprise par un solvant organique anhydre après extraction à l’alcool </w:t>
      </w:r>
      <w:r w:rsidR="00B765D0" w:rsidRPr="00A15991">
        <w:rPr>
          <w:rFonts w:asciiTheme="majorBidi" w:hAnsiTheme="majorBidi" w:cstheme="majorBidi"/>
          <w:color w:val="000000"/>
          <w:sz w:val="24"/>
          <w:szCs w:val="24"/>
        </w:rPr>
        <w:t>bouillante. Cet extrait contient en plus des lipides proprement dits, des substances qui les accompagnent comme les stérols, les hydrocarbures et certaines vitamines liposolubles.</w:t>
      </w:r>
    </w:p>
    <w:p w:rsidR="00961C38" w:rsidRPr="00A15991" w:rsidRDefault="00AC49A3"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La plupart des méthodes de dosage des lipides exploitent ces propriétés physiques pour extraire les lipides des aliments dans le but de mesurer leur concentration. </w:t>
      </w:r>
    </w:p>
    <w:p w:rsidR="00961C38" w:rsidRPr="00A15991" w:rsidRDefault="00961C38" w:rsidP="00491DEF">
      <w:pPr>
        <w:pStyle w:val="Paragraphedeliste"/>
        <w:numPr>
          <w:ilvl w:val="1"/>
          <w:numId w:val="10"/>
        </w:num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 xml:space="preserve"> Méthode de </w:t>
      </w:r>
      <w:proofErr w:type="spellStart"/>
      <w:r w:rsidRPr="00A15991">
        <w:rPr>
          <w:rFonts w:asciiTheme="majorBidi" w:hAnsiTheme="majorBidi" w:cstheme="majorBidi"/>
          <w:b/>
          <w:bCs/>
          <w:color w:val="000000"/>
          <w:sz w:val="24"/>
          <w:szCs w:val="24"/>
        </w:rPr>
        <w:t>Goldfisch</w:t>
      </w:r>
      <w:proofErr w:type="spellEnd"/>
    </w:p>
    <w:p w:rsidR="00961C38" w:rsidRPr="00A15991" w:rsidRDefault="00961C38"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La méthode de </w:t>
      </w:r>
      <w:proofErr w:type="spellStart"/>
      <w:r w:rsidRPr="00A15991">
        <w:rPr>
          <w:rFonts w:asciiTheme="majorBidi" w:hAnsiTheme="majorBidi" w:cstheme="majorBidi"/>
          <w:color w:val="000000"/>
          <w:sz w:val="24"/>
          <w:szCs w:val="24"/>
        </w:rPr>
        <w:t>Goldfisch</w:t>
      </w:r>
      <w:proofErr w:type="spellEnd"/>
      <w:r w:rsidRPr="00A15991">
        <w:rPr>
          <w:rFonts w:asciiTheme="majorBidi" w:hAnsiTheme="majorBidi" w:cstheme="majorBidi"/>
          <w:color w:val="000000"/>
          <w:sz w:val="24"/>
          <w:szCs w:val="24"/>
        </w:rPr>
        <w:t xml:space="preserve"> est une méthode gravimétrique, puisqu’on pèse l’échantillon au  début et la matière grasse en fin de l’analyse. Elle est utilisée pour la détermination de la matière grasse dans les aliments solides ou séchés.</w:t>
      </w:r>
    </w:p>
    <w:p w:rsidR="00961C38" w:rsidRPr="00A15991" w:rsidRDefault="00142042"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u w:val="single"/>
        </w:rPr>
        <w:t>Principe</w:t>
      </w:r>
      <w:r w:rsidR="00961C38" w:rsidRPr="00A15991">
        <w:rPr>
          <w:rFonts w:asciiTheme="majorBidi" w:hAnsiTheme="majorBidi" w:cstheme="majorBidi"/>
          <w:color w:val="000000"/>
          <w:sz w:val="24"/>
          <w:szCs w:val="24"/>
          <w:u w:val="single"/>
        </w:rPr>
        <w:t>:</w:t>
      </w:r>
      <w:r w:rsidR="00961C38" w:rsidRPr="00A15991">
        <w:rPr>
          <w:rFonts w:asciiTheme="majorBidi" w:hAnsiTheme="majorBidi" w:cstheme="majorBidi"/>
          <w:color w:val="000000"/>
          <w:sz w:val="24"/>
          <w:szCs w:val="24"/>
        </w:rPr>
        <w:t xml:space="preserve"> Le produit est pesé puis placé dans une cartouche de cellulose ou une capsule poreuse d’</w:t>
      </w:r>
      <w:proofErr w:type="spellStart"/>
      <w:r w:rsidR="00961C38" w:rsidRPr="00A15991">
        <w:rPr>
          <w:rFonts w:asciiTheme="majorBidi" w:hAnsiTheme="majorBidi" w:cstheme="majorBidi"/>
          <w:color w:val="000000"/>
          <w:sz w:val="24"/>
          <w:szCs w:val="24"/>
        </w:rPr>
        <w:t>alundum</w:t>
      </w:r>
      <w:proofErr w:type="spellEnd"/>
      <w:r w:rsidR="00961C38" w:rsidRPr="00A15991">
        <w:rPr>
          <w:rFonts w:asciiTheme="majorBidi" w:hAnsiTheme="majorBidi" w:cstheme="majorBidi"/>
          <w:color w:val="000000"/>
          <w:sz w:val="24"/>
          <w:szCs w:val="24"/>
        </w:rPr>
        <w:t xml:space="preserve"> (oxyde d’aluminium, Al</w:t>
      </w:r>
      <w:r w:rsidR="00961C38" w:rsidRPr="00A15991">
        <w:rPr>
          <w:rFonts w:asciiTheme="majorBidi" w:hAnsiTheme="majorBidi" w:cstheme="majorBidi"/>
          <w:color w:val="000000"/>
          <w:sz w:val="24"/>
          <w:szCs w:val="24"/>
          <w:vertAlign w:val="subscript"/>
        </w:rPr>
        <w:t>2</w:t>
      </w:r>
      <w:r w:rsidR="00961C38" w:rsidRPr="00A15991">
        <w:rPr>
          <w:rFonts w:asciiTheme="majorBidi" w:hAnsiTheme="majorBidi" w:cstheme="majorBidi"/>
          <w:color w:val="000000"/>
          <w:sz w:val="24"/>
          <w:szCs w:val="24"/>
        </w:rPr>
        <w:t>O</w:t>
      </w:r>
      <w:r w:rsidR="00961C38" w:rsidRPr="00A15991">
        <w:rPr>
          <w:rFonts w:asciiTheme="majorBidi" w:hAnsiTheme="majorBidi" w:cstheme="majorBidi"/>
          <w:color w:val="000000"/>
          <w:sz w:val="24"/>
          <w:szCs w:val="24"/>
          <w:vertAlign w:val="subscript"/>
        </w:rPr>
        <w:t>3</w:t>
      </w:r>
      <w:r w:rsidR="00961C38" w:rsidRPr="00A15991">
        <w:rPr>
          <w:rFonts w:asciiTheme="majorBidi" w:hAnsiTheme="majorBidi" w:cstheme="majorBidi"/>
          <w:color w:val="000000"/>
          <w:sz w:val="24"/>
          <w:szCs w:val="24"/>
        </w:rPr>
        <w:t xml:space="preserve">) de l’extracteur </w:t>
      </w:r>
      <w:proofErr w:type="spellStart"/>
      <w:r w:rsidR="00961C38" w:rsidRPr="00A15991">
        <w:rPr>
          <w:rFonts w:asciiTheme="majorBidi" w:hAnsiTheme="majorBidi" w:cstheme="majorBidi"/>
          <w:color w:val="000000"/>
          <w:sz w:val="24"/>
          <w:szCs w:val="24"/>
        </w:rPr>
        <w:t>Goldfish</w:t>
      </w:r>
      <w:proofErr w:type="spellEnd"/>
      <w:r w:rsidR="00961C38" w:rsidRPr="00A15991">
        <w:rPr>
          <w:rFonts w:asciiTheme="majorBidi" w:hAnsiTheme="majorBidi" w:cstheme="majorBidi"/>
          <w:color w:val="000000"/>
          <w:sz w:val="24"/>
          <w:szCs w:val="24"/>
        </w:rPr>
        <w:t>.</w:t>
      </w:r>
    </w:p>
    <w:p w:rsidR="00FC6560" w:rsidRPr="00A15991" w:rsidRDefault="00961C38" w:rsidP="00826B8B">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L’échantillon est extrait en continu par l’éther éthylique en ébullition, ou l’éther de pétrole, qui dissout graduellement la matière grasse. Le solvant contenant la matière grasse, retourne dans un récipient placé sous le porte-échantillon. Comme seul le solvant peut s’évaporer de nouveau, la matière grasse s’accumule dans le récipient jusqu’à ce que l’extraction soit complète. Une fois que l’extraction est terminée, le solvant est évaporé et la matière grasse est pesée.</w:t>
      </w:r>
    </w:p>
    <w:p w:rsidR="00961C38" w:rsidRPr="00A15991" w:rsidRDefault="00961C38" w:rsidP="00491DEF">
      <w:pPr>
        <w:tabs>
          <w:tab w:val="left" w:pos="567"/>
        </w:tabs>
        <w:autoSpaceDE w:val="0"/>
        <w:autoSpaceDN w:val="0"/>
        <w:adjustRightInd w:val="0"/>
        <w:spacing w:after="0"/>
        <w:jc w:val="center"/>
        <w:rPr>
          <w:rFonts w:asciiTheme="majorBidi" w:hAnsiTheme="majorBidi" w:cstheme="majorBidi"/>
          <w:color w:val="000000"/>
          <w:sz w:val="24"/>
          <w:szCs w:val="24"/>
        </w:rPr>
      </w:pPr>
      <w:r w:rsidRPr="00A15991">
        <w:rPr>
          <w:rFonts w:asciiTheme="majorBidi" w:hAnsiTheme="majorBidi" w:cstheme="majorBidi"/>
          <w:noProof/>
          <w:color w:val="000000"/>
          <w:sz w:val="24"/>
          <w:szCs w:val="24"/>
        </w:rPr>
        <w:drawing>
          <wp:inline distT="0" distB="0" distL="0" distR="0">
            <wp:extent cx="2769235" cy="235521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69235" cy="2355215"/>
                    </a:xfrm>
                    <a:prstGeom prst="rect">
                      <a:avLst/>
                    </a:prstGeom>
                    <a:noFill/>
                    <a:ln w="9525">
                      <a:noFill/>
                      <a:miter lim="800000"/>
                      <a:headEnd/>
                      <a:tailEnd/>
                    </a:ln>
                  </pic:spPr>
                </pic:pic>
              </a:graphicData>
            </a:graphic>
          </wp:inline>
        </w:drawing>
      </w:r>
    </w:p>
    <w:p w:rsidR="00AB73FD" w:rsidRPr="00A15991" w:rsidRDefault="00AB73FD" w:rsidP="00491DEF">
      <w:pPr>
        <w:tabs>
          <w:tab w:val="left" w:pos="567"/>
        </w:tabs>
        <w:autoSpaceDE w:val="0"/>
        <w:autoSpaceDN w:val="0"/>
        <w:adjustRightInd w:val="0"/>
        <w:spacing w:after="0"/>
        <w:jc w:val="center"/>
        <w:rPr>
          <w:rFonts w:asciiTheme="majorBidi" w:hAnsiTheme="majorBidi" w:cstheme="majorBidi"/>
          <w:color w:val="000000"/>
          <w:sz w:val="24"/>
          <w:szCs w:val="24"/>
        </w:rPr>
      </w:pPr>
    </w:p>
    <w:p w:rsidR="00826B8B" w:rsidRDefault="00826B8B" w:rsidP="00826B8B">
      <w:pPr>
        <w:tabs>
          <w:tab w:val="left" w:pos="567"/>
          <w:tab w:val="center" w:pos="4536"/>
        </w:tabs>
        <w:autoSpaceDE w:val="0"/>
        <w:autoSpaceDN w:val="0"/>
        <w:adjustRightInd w:val="0"/>
        <w:spacing w:after="0"/>
        <w:rPr>
          <w:rFonts w:asciiTheme="majorBidi" w:hAnsiTheme="majorBidi" w:cstheme="majorBidi"/>
          <w:b/>
          <w:bCs/>
          <w:color w:val="0000CD"/>
          <w:sz w:val="24"/>
          <w:szCs w:val="24"/>
        </w:rPr>
      </w:pPr>
    </w:p>
    <w:p w:rsidR="00961C38" w:rsidRPr="00A15991" w:rsidRDefault="00826B8B" w:rsidP="00826B8B">
      <w:pPr>
        <w:tabs>
          <w:tab w:val="left" w:pos="567"/>
          <w:tab w:val="center" w:pos="4536"/>
        </w:tabs>
        <w:autoSpaceDE w:val="0"/>
        <w:autoSpaceDN w:val="0"/>
        <w:adjustRightInd w:val="0"/>
        <w:spacing w:after="0"/>
        <w:rPr>
          <w:rFonts w:asciiTheme="majorBidi" w:hAnsiTheme="majorBidi" w:cstheme="majorBidi"/>
          <w:color w:val="000000"/>
          <w:sz w:val="24"/>
          <w:szCs w:val="24"/>
        </w:rPr>
      </w:pPr>
      <w:r>
        <w:rPr>
          <w:rFonts w:asciiTheme="majorBidi" w:hAnsiTheme="majorBidi" w:cstheme="majorBidi"/>
          <w:b/>
          <w:bCs/>
          <w:color w:val="0000CD"/>
          <w:sz w:val="24"/>
          <w:szCs w:val="24"/>
        </w:rPr>
        <w:tab/>
      </w:r>
      <w:r>
        <w:rPr>
          <w:rFonts w:asciiTheme="majorBidi" w:hAnsiTheme="majorBidi" w:cstheme="majorBidi"/>
          <w:b/>
          <w:bCs/>
          <w:color w:val="0000CD"/>
          <w:sz w:val="24"/>
          <w:szCs w:val="24"/>
        </w:rPr>
        <w:tab/>
      </w:r>
      <w:r w:rsidR="00961C38" w:rsidRPr="00826B8B">
        <w:rPr>
          <w:rFonts w:asciiTheme="majorBidi" w:hAnsiTheme="majorBidi" w:cstheme="majorBidi"/>
          <w:b/>
          <w:bCs/>
          <w:sz w:val="24"/>
          <w:szCs w:val="24"/>
        </w:rPr>
        <w:t>Figure:</w:t>
      </w:r>
      <w:r w:rsidR="00961C38" w:rsidRPr="00A15991">
        <w:rPr>
          <w:rFonts w:asciiTheme="majorBidi" w:hAnsiTheme="majorBidi" w:cstheme="majorBidi"/>
          <w:b/>
          <w:bCs/>
          <w:color w:val="0000CD"/>
          <w:sz w:val="24"/>
          <w:szCs w:val="24"/>
        </w:rPr>
        <w:t xml:space="preserve"> </w:t>
      </w:r>
      <w:r w:rsidR="00961C38" w:rsidRPr="00A15991">
        <w:rPr>
          <w:rFonts w:asciiTheme="majorBidi" w:hAnsiTheme="majorBidi" w:cstheme="majorBidi"/>
          <w:color w:val="000000"/>
          <w:sz w:val="24"/>
          <w:szCs w:val="24"/>
        </w:rPr>
        <w:t xml:space="preserve">Extracteur </w:t>
      </w:r>
      <w:proofErr w:type="spellStart"/>
      <w:r w:rsidR="00961C38" w:rsidRPr="00A15991">
        <w:rPr>
          <w:rFonts w:asciiTheme="majorBidi" w:hAnsiTheme="majorBidi" w:cstheme="majorBidi"/>
          <w:color w:val="000000"/>
          <w:sz w:val="24"/>
          <w:szCs w:val="24"/>
        </w:rPr>
        <w:t>Goldfish</w:t>
      </w:r>
      <w:proofErr w:type="spellEnd"/>
    </w:p>
    <w:p w:rsidR="00961C38" w:rsidRPr="00A15991" w:rsidRDefault="00961C38" w:rsidP="00491DEF">
      <w:pPr>
        <w:pStyle w:val="Paragraphedeliste"/>
        <w:numPr>
          <w:ilvl w:val="1"/>
          <w:numId w:val="10"/>
        </w:numPr>
        <w:autoSpaceDE w:val="0"/>
        <w:autoSpaceDN w:val="0"/>
        <w:adjustRightInd w:val="0"/>
        <w:spacing w:after="0"/>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lastRenderedPageBreak/>
        <w:t xml:space="preserve">Méthode de </w:t>
      </w:r>
      <w:proofErr w:type="spellStart"/>
      <w:r w:rsidRPr="00A15991">
        <w:rPr>
          <w:rFonts w:asciiTheme="majorBidi" w:hAnsiTheme="majorBidi" w:cstheme="majorBidi"/>
          <w:b/>
          <w:bCs/>
          <w:color w:val="000000"/>
          <w:sz w:val="24"/>
          <w:szCs w:val="24"/>
        </w:rPr>
        <w:t>Soxhlet</w:t>
      </w:r>
      <w:proofErr w:type="spellEnd"/>
    </w:p>
    <w:p w:rsidR="00961C38" w:rsidRPr="00A15991" w:rsidRDefault="00961C38"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La méthode </w:t>
      </w:r>
      <w:proofErr w:type="spellStart"/>
      <w:r w:rsidRPr="00A15991">
        <w:rPr>
          <w:rFonts w:asciiTheme="majorBidi" w:hAnsiTheme="majorBidi" w:cstheme="majorBidi"/>
          <w:color w:val="000000"/>
          <w:sz w:val="24"/>
          <w:szCs w:val="24"/>
        </w:rPr>
        <w:t>Soxhlet</w:t>
      </w:r>
      <w:proofErr w:type="spellEnd"/>
      <w:r w:rsidRPr="00A15991">
        <w:rPr>
          <w:rFonts w:asciiTheme="majorBidi" w:hAnsiTheme="majorBidi" w:cstheme="majorBidi"/>
          <w:color w:val="000000"/>
          <w:sz w:val="24"/>
          <w:szCs w:val="24"/>
        </w:rPr>
        <w:t xml:space="preserve"> est une méthode de référence utilisée pour la détermination de la matière grasse dans les aliments solides ou séchés. Il est à signaler que cette méthode d’extraction  est moins rapide et moins efficace que les méthodes de </w:t>
      </w:r>
      <w:proofErr w:type="spellStart"/>
      <w:r w:rsidRPr="00A15991">
        <w:rPr>
          <w:rFonts w:asciiTheme="majorBidi" w:hAnsiTheme="majorBidi" w:cstheme="majorBidi"/>
          <w:color w:val="000000"/>
          <w:sz w:val="24"/>
          <w:szCs w:val="24"/>
        </w:rPr>
        <w:t>Goldfisch</w:t>
      </w:r>
      <w:proofErr w:type="spellEnd"/>
      <w:r w:rsidRPr="00A15991">
        <w:rPr>
          <w:rFonts w:asciiTheme="majorBidi" w:hAnsiTheme="majorBidi" w:cstheme="majorBidi"/>
          <w:color w:val="000000"/>
          <w:sz w:val="24"/>
          <w:szCs w:val="24"/>
        </w:rPr>
        <w:t>.</w:t>
      </w:r>
    </w:p>
    <w:p w:rsidR="00961C38" w:rsidRPr="00A15991" w:rsidRDefault="00826B8B" w:rsidP="00491DEF">
      <w:pPr>
        <w:tabs>
          <w:tab w:val="left" w:pos="567"/>
        </w:tabs>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u w:val="single"/>
        </w:rPr>
        <w:t>Principe</w:t>
      </w:r>
      <w:r w:rsidR="00961C38" w:rsidRPr="00826B8B">
        <w:rPr>
          <w:rFonts w:asciiTheme="majorBidi" w:hAnsiTheme="majorBidi" w:cstheme="majorBidi"/>
          <w:color w:val="000000"/>
          <w:sz w:val="24"/>
          <w:szCs w:val="24"/>
          <w:u w:val="single"/>
        </w:rPr>
        <w:t>:</w:t>
      </w:r>
      <w:r w:rsidR="00961C38" w:rsidRPr="00A15991">
        <w:rPr>
          <w:rFonts w:asciiTheme="majorBidi" w:hAnsiTheme="majorBidi" w:cstheme="majorBidi"/>
          <w:color w:val="000000"/>
          <w:sz w:val="24"/>
          <w:szCs w:val="24"/>
        </w:rPr>
        <w:t xml:space="preserve"> L’aliment est pesé puis placé dans une cartouche de cellulose. La cartouche de</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cellulose est perméable au solvant et à la matière grasse qui y est dissoute. Le solvant qui se trouve</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dans le ballon de chauffage remonte vers la chambre d’extraction pour 5 à 10min puis</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retourne au ballon. L’échantillon est extrait en semi-continu par un solvant (exemple :</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éther éthylique, hexane, éther de pétrole) en ébullition qui retombe goutte-à-goutte dans la</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chambre d’extraction et qui dissout graduellement la matière grasse. Le solvant contenant</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la matière grasse retourne dans le ballon par déversements successifs causés par un effet</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de siphon dans le coude latéral. Comme seul le solvant peut s’évaporer de nouveau, la</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matière grasse s’accumule dans le ballon jusqu’à ce que l’extraction soit complète. Une</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fois l’extraction terminée, le solvant est évaporé, généralement sur un évaporateur rotatif,</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et la teneur en lipides est mesurée par poids de diminution de l’échantillon ou directement</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par le poids des lipides extraits. Si l’échantillon contient plus de 8-10% d’humidité, le</w:t>
      </w:r>
      <w:r w:rsidR="0038191D" w:rsidRPr="00A15991">
        <w:rPr>
          <w:rFonts w:asciiTheme="majorBidi" w:hAnsiTheme="majorBidi" w:cstheme="majorBidi"/>
          <w:color w:val="000000"/>
          <w:sz w:val="24"/>
          <w:szCs w:val="24"/>
        </w:rPr>
        <w:t xml:space="preserve"> </w:t>
      </w:r>
      <w:r w:rsidR="00961C38" w:rsidRPr="00A15991">
        <w:rPr>
          <w:rFonts w:asciiTheme="majorBidi" w:hAnsiTheme="majorBidi" w:cstheme="majorBidi"/>
          <w:color w:val="000000"/>
          <w:sz w:val="24"/>
          <w:szCs w:val="24"/>
        </w:rPr>
        <w:t>séchage est recommandé.</w:t>
      </w:r>
    </w:p>
    <w:p w:rsidR="0038191D" w:rsidRPr="00A15991" w:rsidRDefault="0038191D" w:rsidP="00491DEF">
      <w:pPr>
        <w:tabs>
          <w:tab w:val="left" w:pos="567"/>
        </w:tabs>
        <w:autoSpaceDE w:val="0"/>
        <w:autoSpaceDN w:val="0"/>
        <w:adjustRightInd w:val="0"/>
        <w:spacing w:after="0"/>
        <w:jc w:val="both"/>
        <w:rPr>
          <w:rFonts w:asciiTheme="majorBidi" w:hAnsiTheme="majorBidi" w:cstheme="majorBidi"/>
          <w:color w:val="000000"/>
          <w:sz w:val="24"/>
          <w:szCs w:val="24"/>
        </w:rPr>
      </w:pPr>
    </w:p>
    <w:p w:rsidR="0038191D" w:rsidRPr="00A15991" w:rsidRDefault="00165E4D" w:rsidP="00491DEF">
      <w:pPr>
        <w:tabs>
          <w:tab w:val="left" w:pos="567"/>
        </w:tabs>
        <w:autoSpaceDE w:val="0"/>
        <w:autoSpaceDN w:val="0"/>
        <w:adjustRightInd w:val="0"/>
        <w:spacing w:after="0"/>
        <w:jc w:val="center"/>
        <w:rPr>
          <w:rFonts w:asciiTheme="majorBidi" w:hAnsiTheme="majorBidi" w:cstheme="majorBidi"/>
          <w:color w:val="000000"/>
          <w:sz w:val="24"/>
          <w:szCs w:val="24"/>
        </w:rPr>
      </w:pPr>
      <w:r w:rsidRPr="00A15991">
        <w:rPr>
          <w:rFonts w:asciiTheme="majorBidi" w:hAnsiTheme="majorBidi" w:cstheme="majorBidi"/>
          <w:noProof/>
          <w:color w:val="000000"/>
          <w:sz w:val="24"/>
          <w:szCs w:val="24"/>
        </w:rPr>
        <w:drawing>
          <wp:inline distT="0" distB="0" distL="0" distR="0">
            <wp:extent cx="3838575" cy="4011295"/>
            <wp:effectExtent l="19050" t="0" r="952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38575" cy="4011295"/>
                    </a:xfrm>
                    <a:prstGeom prst="rect">
                      <a:avLst/>
                    </a:prstGeom>
                    <a:noFill/>
                    <a:ln w="9525">
                      <a:noFill/>
                      <a:miter lim="800000"/>
                      <a:headEnd/>
                      <a:tailEnd/>
                    </a:ln>
                  </pic:spPr>
                </pic:pic>
              </a:graphicData>
            </a:graphic>
          </wp:inline>
        </w:drawing>
      </w:r>
    </w:p>
    <w:p w:rsidR="00961C38" w:rsidRPr="00A15991" w:rsidRDefault="00165E4D" w:rsidP="00491DEF">
      <w:pPr>
        <w:tabs>
          <w:tab w:val="left" w:pos="2608"/>
        </w:tabs>
        <w:autoSpaceDE w:val="0"/>
        <w:autoSpaceDN w:val="0"/>
        <w:adjustRightInd w:val="0"/>
        <w:spacing w:after="0"/>
        <w:jc w:val="center"/>
        <w:rPr>
          <w:rFonts w:asciiTheme="majorBidi" w:hAnsiTheme="majorBidi" w:cstheme="majorBidi"/>
          <w:color w:val="000000"/>
          <w:sz w:val="24"/>
          <w:szCs w:val="24"/>
        </w:rPr>
      </w:pPr>
      <w:r w:rsidRPr="00A15991">
        <w:rPr>
          <w:rFonts w:asciiTheme="majorBidi" w:hAnsiTheme="majorBidi" w:cstheme="majorBidi"/>
          <w:b/>
          <w:bCs/>
          <w:color w:val="0000CD"/>
          <w:sz w:val="24"/>
          <w:szCs w:val="24"/>
        </w:rPr>
        <w:t xml:space="preserve">Figure : </w:t>
      </w:r>
      <w:r w:rsidRPr="00A15991">
        <w:rPr>
          <w:rFonts w:asciiTheme="majorBidi" w:hAnsiTheme="majorBidi" w:cstheme="majorBidi"/>
          <w:color w:val="000000"/>
          <w:sz w:val="24"/>
          <w:szCs w:val="24"/>
        </w:rPr>
        <w:t xml:space="preserve">Extracteur </w:t>
      </w:r>
      <w:proofErr w:type="spellStart"/>
      <w:r w:rsidRPr="00A15991">
        <w:rPr>
          <w:rFonts w:asciiTheme="majorBidi" w:hAnsiTheme="majorBidi" w:cstheme="majorBidi"/>
          <w:color w:val="000000"/>
          <w:sz w:val="24"/>
          <w:szCs w:val="24"/>
        </w:rPr>
        <w:t>Soxhlet</w:t>
      </w:r>
      <w:proofErr w:type="spellEnd"/>
    </w:p>
    <w:p w:rsidR="00961C38" w:rsidRPr="00A15991" w:rsidRDefault="00961C38" w:rsidP="00491DEF">
      <w:pPr>
        <w:tabs>
          <w:tab w:val="left" w:pos="567"/>
        </w:tabs>
        <w:autoSpaceDE w:val="0"/>
        <w:autoSpaceDN w:val="0"/>
        <w:adjustRightInd w:val="0"/>
        <w:spacing w:after="0"/>
        <w:jc w:val="both"/>
        <w:rPr>
          <w:rFonts w:asciiTheme="majorBidi" w:hAnsiTheme="majorBidi" w:cstheme="majorBidi"/>
          <w:color w:val="000000"/>
          <w:sz w:val="24"/>
          <w:szCs w:val="24"/>
        </w:rPr>
      </w:pPr>
    </w:p>
    <w:p w:rsidR="00165E4D" w:rsidRPr="00A15991" w:rsidRDefault="00B65D24" w:rsidP="00491DEF">
      <w:pPr>
        <w:autoSpaceDE w:val="0"/>
        <w:autoSpaceDN w:val="0"/>
        <w:adjustRightInd w:val="0"/>
        <w:spacing w:after="0"/>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1.3</w:t>
      </w:r>
      <w:proofErr w:type="gramStart"/>
      <w:r w:rsidRPr="00A15991">
        <w:rPr>
          <w:rFonts w:asciiTheme="majorBidi" w:hAnsiTheme="majorBidi" w:cstheme="majorBidi"/>
          <w:b/>
          <w:bCs/>
          <w:color w:val="000000"/>
          <w:sz w:val="24"/>
          <w:szCs w:val="24"/>
        </w:rPr>
        <w:t>.</w:t>
      </w:r>
      <w:r w:rsidR="00165E4D" w:rsidRPr="00A15991">
        <w:rPr>
          <w:rFonts w:asciiTheme="majorBidi" w:hAnsiTheme="majorBidi" w:cstheme="majorBidi"/>
          <w:b/>
          <w:bCs/>
          <w:color w:val="000000"/>
          <w:sz w:val="24"/>
          <w:szCs w:val="24"/>
        </w:rPr>
        <w:t>Méthode</w:t>
      </w:r>
      <w:proofErr w:type="gramEnd"/>
      <w:r w:rsidR="00165E4D" w:rsidRPr="00A15991">
        <w:rPr>
          <w:rFonts w:asciiTheme="majorBidi" w:hAnsiTheme="majorBidi" w:cstheme="majorBidi"/>
          <w:b/>
          <w:bCs/>
          <w:color w:val="000000"/>
          <w:sz w:val="24"/>
          <w:szCs w:val="24"/>
        </w:rPr>
        <w:t xml:space="preserve"> de </w:t>
      </w:r>
      <w:proofErr w:type="spellStart"/>
      <w:r w:rsidR="00165E4D" w:rsidRPr="00A15991">
        <w:rPr>
          <w:rFonts w:asciiTheme="majorBidi" w:hAnsiTheme="majorBidi" w:cstheme="majorBidi"/>
          <w:b/>
          <w:bCs/>
          <w:color w:val="000000"/>
          <w:sz w:val="24"/>
          <w:szCs w:val="24"/>
        </w:rPr>
        <w:t>Mojonnier</w:t>
      </w:r>
      <w:proofErr w:type="spellEnd"/>
    </w:p>
    <w:p w:rsidR="00165E4D" w:rsidRPr="00A15991" w:rsidRDefault="00165E4D"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La méthode de </w:t>
      </w:r>
      <w:proofErr w:type="spellStart"/>
      <w:r w:rsidRPr="00A15991">
        <w:rPr>
          <w:rFonts w:asciiTheme="majorBidi" w:hAnsiTheme="majorBidi" w:cstheme="majorBidi"/>
          <w:color w:val="000000"/>
          <w:sz w:val="24"/>
          <w:szCs w:val="24"/>
        </w:rPr>
        <w:t>Mojonnier</w:t>
      </w:r>
      <w:proofErr w:type="spellEnd"/>
      <w:r w:rsidRPr="00A15991">
        <w:rPr>
          <w:rFonts w:asciiTheme="majorBidi" w:hAnsiTheme="majorBidi" w:cstheme="majorBidi"/>
          <w:color w:val="000000"/>
          <w:sz w:val="24"/>
          <w:szCs w:val="24"/>
        </w:rPr>
        <w:t xml:space="preserve"> est une méthode de référence pour la détermination de la</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 xml:space="preserve">matière grasse dans les produits laitiers. Le test de </w:t>
      </w:r>
      <w:proofErr w:type="spellStart"/>
      <w:r w:rsidRPr="00A15991">
        <w:rPr>
          <w:rFonts w:asciiTheme="majorBidi" w:hAnsiTheme="majorBidi" w:cstheme="majorBidi"/>
          <w:color w:val="000000"/>
          <w:sz w:val="24"/>
          <w:szCs w:val="24"/>
        </w:rPr>
        <w:t>Mojonnier</w:t>
      </w:r>
      <w:proofErr w:type="spellEnd"/>
      <w:r w:rsidRPr="00A15991">
        <w:rPr>
          <w:rFonts w:asciiTheme="majorBidi" w:hAnsiTheme="majorBidi" w:cstheme="majorBidi"/>
          <w:color w:val="000000"/>
          <w:sz w:val="24"/>
          <w:szCs w:val="24"/>
        </w:rPr>
        <w:t xml:space="preserve"> ne nécessite pas l’étape de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 xml:space="preserve">séchage de </w:t>
      </w:r>
      <w:r w:rsidRPr="00A15991">
        <w:rPr>
          <w:rFonts w:asciiTheme="majorBidi" w:hAnsiTheme="majorBidi" w:cstheme="majorBidi"/>
          <w:color w:val="000000"/>
          <w:sz w:val="24"/>
          <w:szCs w:val="24"/>
        </w:rPr>
        <w:lastRenderedPageBreak/>
        <w:t>l’échantillon et peut être utilisé pour les produits liquides et solides. Le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traitement acide ou basique ou les deux combinés peuvent être appliqués également dans</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cette méthode.</w:t>
      </w:r>
    </w:p>
    <w:p w:rsidR="00165E4D" w:rsidRPr="00A15991" w:rsidRDefault="00165E4D"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u w:val="single"/>
        </w:rPr>
        <w:t>Principe :</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 xml:space="preserve">Le produit laitier est mesuré puis mis dans le flacon de </w:t>
      </w:r>
      <w:proofErr w:type="spellStart"/>
      <w:r w:rsidRPr="00A15991">
        <w:rPr>
          <w:rFonts w:asciiTheme="majorBidi" w:hAnsiTheme="majorBidi" w:cstheme="majorBidi"/>
          <w:color w:val="000000"/>
          <w:sz w:val="24"/>
          <w:szCs w:val="24"/>
        </w:rPr>
        <w:t>Mojonnier</w:t>
      </w:r>
      <w:proofErr w:type="spellEnd"/>
      <w:r w:rsidRPr="00A15991">
        <w:rPr>
          <w:rFonts w:asciiTheme="majorBidi" w:hAnsiTheme="majorBidi" w:cstheme="majorBidi"/>
          <w:color w:val="000000"/>
          <w:sz w:val="24"/>
          <w:szCs w:val="24"/>
        </w:rPr>
        <w:t xml:space="preserve"> (</w:t>
      </w:r>
      <w:r w:rsidR="00C16771" w:rsidRPr="00A15991">
        <w:rPr>
          <w:rFonts w:asciiTheme="majorBidi" w:hAnsiTheme="majorBidi" w:cstheme="majorBidi"/>
          <w:color w:val="000000"/>
          <w:sz w:val="24"/>
          <w:szCs w:val="24"/>
        </w:rPr>
        <w:t>Figure </w:t>
      </w:r>
      <w:r w:rsidR="00C16771" w:rsidRPr="00A15991">
        <w:rPr>
          <w:rFonts w:asciiTheme="majorBidi" w:hAnsiTheme="majorBidi" w:cstheme="majorBidi"/>
          <w:color w:val="FF0000"/>
          <w:sz w:val="24"/>
          <w:szCs w:val="24"/>
        </w:rPr>
        <w:t>??</w:t>
      </w:r>
      <w:r w:rsidRPr="00A15991">
        <w:rPr>
          <w:rFonts w:asciiTheme="majorBidi" w:hAnsiTheme="majorBidi" w:cstheme="majorBidi"/>
          <w:color w:val="000000"/>
          <w:sz w:val="24"/>
          <w:szCs w:val="24"/>
        </w:rPr>
        <w:t>). Le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produit est dissout dans la phase aqueuse contenant de l’hydroxyde d’ammonium</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(NH4OH, densité 0,8974) et de l’alcool éthylique. La matière grasse est extraite à l’aide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d’un solvant organique immiscible avec l’eau, composé d’éther éthylique et d’éther de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pétrole. Les solvants d’extraction sont évaporés et la matière grasse est pesée.</w:t>
      </w:r>
    </w:p>
    <w:p w:rsidR="00165E4D" w:rsidRPr="00A15991" w:rsidRDefault="00165E4D" w:rsidP="00491DEF">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À cause de la teneur très variable en matière grasse dans les produits laitiers, la</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quantité d’échantillon pesée, le nombre d’extractions et les volumes de solvants utilisés</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doivent être ajustés en fonction de chaque type de produits laitiers.</w:t>
      </w:r>
    </w:p>
    <w:p w:rsidR="00C16771" w:rsidRPr="00A15991" w:rsidRDefault="00C16771" w:rsidP="00491DEF">
      <w:pPr>
        <w:tabs>
          <w:tab w:val="left" w:pos="567"/>
        </w:tabs>
        <w:autoSpaceDE w:val="0"/>
        <w:autoSpaceDN w:val="0"/>
        <w:adjustRightInd w:val="0"/>
        <w:spacing w:after="0"/>
        <w:jc w:val="both"/>
        <w:rPr>
          <w:rFonts w:asciiTheme="majorBidi" w:hAnsiTheme="majorBidi" w:cstheme="majorBidi"/>
          <w:color w:val="000000"/>
          <w:sz w:val="24"/>
          <w:szCs w:val="24"/>
        </w:rPr>
      </w:pPr>
    </w:p>
    <w:p w:rsidR="00C16771" w:rsidRPr="00A15991" w:rsidRDefault="00C16771" w:rsidP="00491DEF">
      <w:pPr>
        <w:tabs>
          <w:tab w:val="left" w:pos="567"/>
        </w:tabs>
        <w:autoSpaceDE w:val="0"/>
        <w:autoSpaceDN w:val="0"/>
        <w:adjustRightInd w:val="0"/>
        <w:spacing w:after="0"/>
        <w:jc w:val="center"/>
        <w:rPr>
          <w:rFonts w:asciiTheme="majorBidi" w:hAnsiTheme="majorBidi" w:cstheme="majorBidi"/>
          <w:color w:val="000000"/>
          <w:sz w:val="24"/>
          <w:szCs w:val="24"/>
        </w:rPr>
      </w:pPr>
      <w:r w:rsidRPr="00A15991">
        <w:rPr>
          <w:rFonts w:asciiTheme="majorBidi" w:hAnsiTheme="majorBidi" w:cstheme="majorBidi"/>
          <w:noProof/>
          <w:color w:val="000000"/>
          <w:sz w:val="24"/>
          <w:szCs w:val="24"/>
        </w:rPr>
        <w:drawing>
          <wp:inline distT="0" distB="0" distL="0" distR="0">
            <wp:extent cx="1309418" cy="2963405"/>
            <wp:effectExtent l="19050" t="0" r="5032"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10257" cy="2965303"/>
                    </a:xfrm>
                    <a:prstGeom prst="rect">
                      <a:avLst/>
                    </a:prstGeom>
                    <a:noFill/>
                    <a:ln w="9525">
                      <a:noFill/>
                      <a:miter lim="800000"/>
                      <a:headEnd/>
                      <a:tailEnd/>
                    </a:ln>
                  </pic:spPr>
                </pic:pic>
              </a:graphicData>
            </a:graphic>
          </wp:inline>
        </w:drawing>
      </w:r>
    </w:p>
    <w:p w:rsidR="00C16771" w:rsidRPr="00A15991" w:rsidRDefault="00C16771" w:rsidP="00491DEF">
      <w:pPr>
        <w:tabs>
          <w:tab w:val="left" w:pos="567"/>
        </w:tabs>
        <w:autoSpaceDE w:val="0"/>
        <w:autoSpaceDN w:val="0"/>
        <w:adjustRightInd w:val="0"/>
        <w:spacing w:after="0"/>
        <w:jc w:val="center"/>
        <w:rPr>
          <w:rFonts w:asciiTheme="majorBidi" w:hAnsiTheme="majorBidi" w:cstheme="majorBidi"/>
          <w:color w:val="000000"/>
          <w:sz w:val="24"/>
          <w:szCs w:val="24"/>
          <w:u w:val="single"/>
        </w:rPr>
      </w:pPr>
      <w:r w:rsidRPr="00A15991">
        <w:rPr>
          <w:rFonts w:asciiTheme="majorBidi" w:hAnsiTheme="majorBidi" w:cstheme="majorBidi"/>
          <w:b/>
          <w:bCs/>
          <w:color w:val="0000CD"/>
          <w:sz w:val="24"/>
          <w:szCs w:val="24"/>
        </w:rPr>
        <w:t xml:space="preserve">Figure : </w:t>
      </w:r>
      <w:r w:rsidRPr="00A15991">
        <w:rPr>
          <w:rFonts w:asciiTheme="majorBidi" w:hAnsiTheme="majorBidi" w:cstheme="majorBidi"/>
          <w:color w:val="000000"/>
          <w:sz w:val="24"/>
          <w:szCs w:val="24"/>
        </w:rPr>
        <w:t xml:space="preserve">Flacon de </w:t>
      </w:r>
      <w:proofErr w:type="spellStart"/>
      <w:r w:rsidRPr="00A15991">
        <w:rPr>
          <w:rFonts w:asciiTheme="majorBidi" w:hAnsiTheme="majorBidi" w:cstheme="majorBidi"/>
          <w:color w:val="000000"/>
          <w:sz w:val="24"/>
          <w:szCs w:val="24"/>
        </w:rPr>
        <w:t>Mojonnier</w:t>
      </w:r>
      <w:proofErr w:type="spellEnd"/>
    </w:p>
    <w:p w:rsidR="00165E4D" w:rsidRPr="00A15991" w:rsidRDefault="00165E4D" w:rsidP="00491DEF">
      <w:pPr>
        <w:tabs>
          <w:tab w:val="left" w:pos="567"/>
        </w:tabs>
        <w:autoSpaceDE w:val="0"/>
        <w:autoSpaceDN w:val="0"/>
        <w:adjustRightInd w:val="0"/>
        <w:spacing w:after="0"/>
        <w:jc w:val="both"/>
        <w:rPr>
          <w:rFonts w:asciiTheme="majorBidi" w:hAnsiTheme="majorBidi" w:cstheme="majorBidi"/>
          <w:color w:val="000000"/>
          <w:sz w:val="24"/>
          <w:szCs w:val="24"/>
          <w:u w:val="single"/>
        </w:rPr>
      </w:pPr>
      <w:r w:rsidRPr="00A15991">
        <w:rPr>
          <w:rFonts w:asciiTheme="majorBidi" w:hAnsiTheme="majorBidi" w:cstheme="majorBidi"/>
          <w:color w:val="000000"/>
          <w:sz w:val="24"/>
          <w:szCs w:val="24"/>
          <w:u w:val="single"/>
        </w:rPr>
        <w:t>Rôles du réactif et des solvants</w:t>
      </w:r>
    </w:p>
    <w:p w:rsidR="00165E4D" w:rsidRPr="00A15991" w:rsidRDefault="00165E4D" w:rsidP="00491DEF">
      <w:pPr>
        <w:pStyle w:val="Paragraphedeliste"/>
        <w:numPr>
          <w:ilvl w:val="0"/>
          <w:numId w:val="12"/>
        </w:num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 xml:space="preserve">Hydroxyde d’ammonium (NH4OH) : </w:t>
      </w:r>
      <w:r w:rsidRPr="00A15991">
        <w:rPr>
          <w:rFonts w:asciiTheme="majorBidi" w:hAnsiTheme="majorBidi" w:cstheme="majorBidi"/>
          <w:color w:val="000000"/>
          <w:sz w:val="24"/>
          <w:szCs w:val="24"/>
        </w:rPr>
        <w:t>Déstabilise la micelle lipidique, neutralise l’acidité</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du produit laitier, réduit la viscosité, facilitant ainsi l’action des solvants, et</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prévient la formation de gel.</w:t>
      </w:r>
    </w:p>
    <w:p w:rsidR="00961C38" w:rsidRPr="00A15991" w:rsidRDefault="00165E4D" w:rsidP="00491DEF">
      <w:pPr>
        <w:pStyle w:val="Paragraphedeliste"/>
        <w:numPr>
          <w:ilvl w:val="0"/>
          <w:numId w:val="12"/>
        </w:num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Alcool éthylique à 95% :</w:t>
      </w:r>
      <w:r w:rsidRPr="00A15991">
        <w:rPr>
          <w:rFonts w:asciiTheme="majorBidi" w:hAnsiTheme="majorBidi" w:cstheme="majorBidi"/>
          <w:color w:val="000000"/>
          <w:sz w:val="24"/>
          <w:szCs w:val="24"/>
        </w:rPr>
        <w:t xml:space="preserve"> Facilite l’extraction ; l’alcool étant miscible avec l’éther, brise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les liaisons entre les protéines et les phospholipides qui sont inclus dans la</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matière grasse et facilite la séparation de la phase aqueuse de la phase</w:t>
      </w:r>
      <w:r w:rsidR="00C16771"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organique.</w:t>
      </w:r>
    </w:p>
    <w:p w:rsidR="00C16771" w:rsidRPr="00A15991" w:rsidRDefault="00C16771" w:rsidP="00491DEF">
      <w:pPr>
        <w:pStyle w:val="Paragraphedeliste"/>
        <w:numPr>
          <w:ilvl w:val="0"/>
          <w:numId w:val="12"/>
        </w:num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Éther éthylique :</w:t>
      </w:r>
      <w:r w:rsidRPr="00A15991">
        <w:rPr>
          <w:rFonts w:asciiTheme="majorBidi" w:hAnsiTheme="majorBidi" w:cstheme="majorBidi"/>
          <w:color w:val="000000"/>
          <w:sz w:val="24"/>
          <w:szCs w:val="24"/>
        </w:rPr>
        <w:t xml:space="preserve"> Dissout la matière grasse et la garde en solution. L’éther peut inclure également un peu d’eau contenant de petites quantités de solides non gras qui peuvent causer des résultats erronés.</w:t>
      </w:r>
    </w:p>
    <w:p w:rsidR="0030600B" w:rsidRPr="00A15991" w:rsidRDefault="00C16771" w:rsidP="00816DA5">
      <w:pPr>
        <w:pStyle w:val="Paragraphedeliste"/>
        <w:numPr>
          <w:ilvl w:val="0"/>
          <w:numId w:val="12"/>
        </w:numPr>
        <w:tabs>
          <w:tab w:val="left" w:pos="567"/>
        </w:tabs>
        <w:autoSpaceDE w:val="0"/>
        <w:autoSpaceDN w:val="0"/>
        <w:adjustRightInd w:val="0"/>
        <w:spacing w:after="0" w:line="360" w:lineRule="auto"/>
        <w:jc w:val="both"/>
        <w:rPr>
          <w:rFonts w:asciiTheme="majorBidi" w:hAnsiTheme="majorBidi" w:cstheme="majorBidi"/>
          <w:i/>
          <w:iCs/>
          <w:sz w:val="24"/>
          <w:szCs w:val="24"/>
        </w:rPr>
      </w:pPr>
      <w:r w:rsidRPr="00A15991">
        <w:rPr>
          <w:rFonts w:asciiTheme="majorBidi" w:hAnsiTheme="majorBidi" w:cstheme="majorBidi"/>
          <w:b/>
          <w:bCs/>
          <w:color w:val="000000"/>
          <w:sz w:val="24"/>
          <w:szCs w:val="24"/>
        </w:rPr>
        <w:t>Éther de pétrole :</w:t>
      </w:r>
      <w:r w:rsidRPr="00A15991">
        <w:rPr>
          <w:rFonts w:asciiTheme="majorBidi" w:hAnsiTheme="majorBidi" w:cstheme="majorBidi"/>
          <w:color w:val="000000"/>
          <w:sz w:val="24"/>
          <w:szCs w:val="24"/>
        </w:rPr>
        <w:t xml:space="preserve"> Ce solvant est un mélange d’hydrocarbures, sert à éliminer de la solution d’éther éthylique toute trace d’eau pouvant contenir des solides non gras.</w:t>
      </w:r>
    </w:p>
    <w:p w:rsidR="00B65D24" w:rsidRPr="00A15991" w:rsidRDefault="00B65D24" w:rsidP="00B65D24">
      <w:pPr>
        <w:autoSpaceDE w:val="0"/>
        <w:autoSpaceDN w:val="0"/>
        <w:adjustRightInd w:val="0"/>
        <w:spacing w:after="0" w:line="240" w:lineRule="auto"/>
        <w:rPr>
          <w:rFonts w:asciiTheme="majorBidi" w:hAnsiTheme="majorBidi" w:cstheme="majorBidi"/>
          <w:b/>
          <w:bCs/>
          <w:sz w:val="24"/>
          <w:szCs w:val="24"/>
        </w:rPr>
      </w:pPr>
      <w:r w:rsidRPr="00A15991">
        <w:rPr>
          <w:rFonts w:asciiTheme="majorBidi" w:hAnsiTheme="majorBidi" w:cstheme="majorBidi"/>
          <w:b/>
          <w:bCs/>
          <w:sz w:val="24"/>
          <w:szCs w:val="24"/>
        </w:rPr>
        <w:t xml:space="preserve">1.4. Méthode de Babcock </w:t>
      </w:r>
    </w:p>
    <w:p w:rsidR="00B65D24" w:rsidRPr="00A15991" w:rsidRDefault="00B65D24" w:rsidP="00B65D24">
      <w:pPr>
        <w:tabs>
          <w:tab w:val="left" w:pos="567"/>
        </w:tabs>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La méthode de Babcock est une méthode officielle utilisée pour la détermination de la matière grasse dans les produits laitiers. Cette méthode volumétrique est peu coûteuse et rapide, prend un temps d’analyse d’environ 45min, mais peu précise. De plus, les résultats obtenus par cette </w:t>
      </w:r>
      <w:r w:rsidRPr="00A15991">
        <w:rPr>
          <w:rFonts w:asciiTheme="majorBidi" w:hAnsiTheme="majorBidi" w:cstheme="majorBidi"/>
          <w:color w:val="000000"/>
          <w:sz w:val="24"/>
          <w:szCs w:val="24"/>
        </w:rPr>
        <w:lastRenderedPageBreak/>
        <w:t xml:space="preserve">méthode sont, en moyenne, légèrement plus élevés que ceux obtenus par la méthode de </w:t>
      </w:r>
      <w:proofErr w:type="spellStart"/>
      <w:r w:rsidRPr="00A15991">
        <w:rPr>
          <w:rFonts w:asciiTheme="majorBidi" w:hAnsiTheme="majorBidi" w:cstheme="majorBidi"/>
          <w:color w:val="000000"/>
          <w:sz w:val="24"/>
          <w:szCs w:val="24"/>
        </w:rPr>
        <w:t>Mojonnier</w:t>
      </w:r>
      <w:proofErr w:type="spellEnd"/>
      <w:r w:rsidRPr="00A15991">
        <w:rPr>
          <w:rFonts w:asciiTheme="majorBidi" w:hAnsiTheme="majorBidi" w:cstheme="majorBidi"/>
          <w:color w:val="000000"/>
          <w:sz w:val="24"/>
          <w:szCs w:val="24"/>
        </w:rPr>
        <w:t>.</w:t>
      </w:r>
    </w:p>
    <w:p w:rsidR="0030600B" w:rsidRPr="00A15991" w:rsidRDefault="00B65D24" w:rsidP="00B65D24">
      <w:pPr>
        <w:tabs>
          <w:tab w:val="left" w:pos="567"/>
        </w:tabs>
        <w:autoSpaceDE w:val="0"/>
        <w:autoSpaceDN w:val="0"/>
        <w:adjustRightInd w:val="0"/>
        <w:spacing w:after="0"/>
        <w:jc w:val="both"/>
        <w:rPr>
          <w:rFonts w:asciiTheme="majorBidi" w:hAnsiTheme="majorBidi" w:cstheme="majorBidi"/>
          <w:color w:val="000000"/>
          <w:sz w:val="24"/>
          <w:szCs w:val="24"/>
        </w:rPr>
      </w:pPr>
      <w:r w:rsidRPr="00826B8B">
        <w:rPr>
          <w:rFonts w:asciiTheme="majorBidi" w:hAnsiTheme="majorBidi" w:cstheme="majorBidi"/>
          <w:color w:val="000000"/>
          <w:sz w:val="24"/>
          <w:szCs w:val="24"/>
          <w:u w:val="single"/>
        </w:rPr>
        <w:t>Principe :</w:t>
      </w:r>
      <w:r w:rsidRPr="00A15991">
        <w:rPr>
          <w:rFonts w:asciiTheme="majorBidi" w:hAnsiTheme="majorBidi" w:cstheme="majorBidi"/>
          <w:color w:val="000000"/>
          <w:sz w:val="24"/>
          <w:szCs w:val="24"/>
        </w:rPr>
        <w:t xml:space="preserve"> Le produit laitier est pesé (ou pipeté pour le lait), puis dissout avec l’acide sulfurique (H2SO4 ; densité = 1,82) qui digèrent les protéines, génèrent de la chaleur et libèrent les lipides qui remontent à la surface de la solution. Par addition d’eau et centrifugation, la matière grasse est dirigée dans la partie graduée de la bouteille de Babcock (Figure </w:t>
      </w:r>
      <w:r w:rsidRPr="00A15991">
        <w:rPr>
          <w:rFonts w:asciiTheme="majorBidi" w:hAnsiTheme="majorBidi" w:cstheme="majorBidi"/>
          <w:color w:val="C00000"/>
          <w:sz w:val="24"/>
          <w:szCs w:val="24"/>
        </w:rPr>
        <w:t>??</w:t>
      </w:r>
      <w:r w:rsidRPr="00A15991">
        <w:rPr>
          <w:rFonts w:asciiTheme="majorBidi" w:hAnsiTheme="majorBidi" w:cstheme="majorBidi"/>
          <w:color w:val="000000"/>
          <w:sz w:val="24"/>
          <w:szCs w:val="24"/>
        </w:rPr>
        <w:t>). On mesure, à 57°C (55-60°C), la hauteur d’une colonne de gras sur une échelle graduée en pourcentage massique (% m/m) de matière grasse.</w:t>
      </w:r>
    </w:p>
    <w:p w:rsidR="00AB73FD" w:rsidRPr="00A15991" w:rsidRDefault="00AB73FD" w:rsidP="00AB73FD">
      <w:pPr>
        <w:tabs>
          <w:tab w:val="left" w:pos="567"/>
        </w:tabs>
        <w:autoSpaceDE w:val="0"/>
        <w:autoSpaceDN w:val="0"/>
        <w:adjustRightInd w:val="0"/>
        <w:spacing w:after="0"/>
        <w:jc w:val="center"/>
        <w:rPr>
          <w:rFonts w:asciiTheme="majorBidi" w:hAnsiTheme="majorBidi" w:cstheme="majorBidi"/>
          <w:color w:val="000000"/>
          <w:sz w:val="24"/>
          <w:szCs w:val="24"/>
        </w:rPr>
      </w:pPr>
    </w:p>
    <w:p w:rsidR="00AB73FD" w:rsidRPr="00A15991" w:rsidRDefault="00AB73FD" w:rsidP="00AB73FD">
      <w:pPr>
        <w:tabs>
          <w:tab w:val="left" w:pos="567"/>
        </w:tabs>
        <w:autoSpaceDE w:val="0"/>
        <w:autoSpaceDN w:val="0"/>
        <w:adjustRightInd w:val="0"/>
        <w:spacing w:after="0"/>
        <w:jc w:val="center"/>
        <w:rPr>
          <w:rFonts w:asciiTheme="majorBidi" w:hAnsiTheme="majorBidi" w:cstheme="majorBidi"/>
          <w:color w:val="000000"/>
          <w:sz w:val="24"/>
          <w:szCs w:val="24"/>
        </w:rPr>
      </w:pPr>
      <w:r w:rsidRPr="00A15991">
        <w:rPr>
          <w:rFonts w:asciiTheme="majorBidi" w:hAnsiTheme="majorBidi" w:cstheme="majorBidi"/>
          <w:noProof/>
          <w:color w:val="000000"/>
          <w:sz w:val="24"/>
          <w:szCs w:val="24"/>
        </w:rPr>
        <w:drawing>
          <wp:inline distT="0" distB="0" distL="0" distR="0">
            <wp:extent cx="2889885" cy="2846705"/>
            <wp:effectExtent l="19050" t="0" r="5715"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89885" cy="2846705"/>
                    </a:xfrm>
                    <a:prstGeom prst="rect">
                      <a:avLst/>
                    </a:prstGeom>
                    <a:noFill/>
                    <a:ln w="9525">
                      <a:noFill/>
                      <a:miter lim="800000"/>
                      <a:headEnd/>
                      <a:tailEnd/>
                    </a:ln>
                  </pic:spPr>
                </pic:pic>
              </a:graphicData>
            </a:graphic>
          </wp:inline>
        </w:drawing>
      </w:r>
    </w:p>
    <w:p w:rsidR="00175660" w:rsidRPr="00A15991" w:rsidRDefault="00AB73FD" w:rsidP="00AB73FD">
      <w:pPr>
        <w:rPr>
          <w:rFonts w:asciiTheme="majorBidi" w:hAnsiTheme="majorBidi" w:cstheme="majorBidi"/>
          <w:color w:val="000000"/>
          <w:sz w:val="24"/>
          <w:szCs w:val="24"/>
        </w:rPr>
      </w:pPr>
      <w:r w:rsidRPr="00826B8B">
        <w:rPr>
          <w:rFonts w:asciiTheme="majorBidi" w:hAnsiTheme="majorBidi" w:cstheme="majorBidi"/>
          <w:b/>
          <w:bCs/>
          <w:sz w:val="24"/>
          <w:szCs w:val="24"/>
        </w:rPr>
        <w:t xml:space="preserve">Figure: </w:t>
      </w:r>
      <w:r w:rsidRPr="00826B8B">
        <w:rPr>
          <w:rFonts w:asciiTheme="majorBidi" w:hAnsiTheme="majorBidi" w:cstheme="majorBidi"/>
          <w:sz w:val="24"/>
          <w:szCs w:val="24"/>
        </w:rPr>
        <w:t>Bouteilles</w:t>
      </w:r>
      <w:r w:rsidRPr="00A15991">
        <w:rPr>
          <w:rFonts w:asciiTheme="majorBidi" w:hAnsiTheme="majorBidi" w:cstheme="majorBidi"/>
          <w:color w:val="000000"/>
          <w:sz w:val="24"/>
          <w:szCs w:val="24"/>
        </w:rPr>
        <w:t xml:space="preserve"> de Babcock pour les lipides du lait (a), de la crème (b) et du fromage (c).</w:t>
      </w:r>
    </w:p>
    <w:p w:rsidR="00175660" w:rsidRPr="00A15991" w:rsidRDefault="00175660" w:rsidP="00AB73FD">
      <w:pPr>
        <w:rPr>
          <w:rFonts w:asciiTheme="majorBidi" w:hAnsiTheme="majorBidi" w:cstheme="majorBidi"/>
          <w:b/>
          <w:bCs/>
          <w:sz w:val="24"/>
          <w:szCs w:val="24"/>
        </w:rPr>
      </w:pPr>
      <w:r w:rsidRPr="00A15991">
        <w:rPr>
          <w:rFonts w:asciiTheme="majorBidi" w:hAnsiTheme="majorBidi" w:cstheme="majorBidi"/>
          <w:b/>
          <w:bCs/>
          <w:color w:val="000000"/>
          <w:sz w:val="24"/>
          <w:szCs w:val="24"/>
        </w:rPr>
        <w:t>II. Isolement et dosage des constituants lipidiques à partir d’un extrait lipidique total</w:t>
      </w:r>
    </w:p>
    <w:p w:rsidR="00826B8B" w:rsidRDefault="00E47BF6" w:rsidP="00826B8B">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Le dosage et l’isolement n’ont de sens évidemment que s’il</w:t>
      </w:r>
      <w:r w:rsidR="00826B8B">
        <w:rPr>
          <w:rFonts w:asciiTheme="majorBidi" w:hAnsiTheme="majorBidi" w:cstheme="majorBidi"/>
          <w:color w:val="000000"/>
          <w:sz w:val="24"/>
          <w:szCs w:val="24"/>
        </w:rPr>
        <w:t xml:space="preserve">s sont pratiqués sur un extrait </w:t>
      </w:r>
      <w:r w:rsidRPr="00A15991">
        <w:rPr>
          <w:rFonts w:asciiTheme="majorBidi" w:hAnsiTheme="majorBidi" w:cstheme="majorBidi"/>
          <w:color w:val="000000"/>
          <w:sz w:val="24"/>
          <w:szCs w:val="24"/>
        </w:rPr>
        <w:t>lipidique total obtenu dans des bonnes conditions.</w:t>
      </w:r>
    </w:p>
    <w:p w:rsidR="00B56FD8" w:rsidRPr="00A15991" w:rsidRDefault="00B56FD8" w:rsidP="00826B8B">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L’extrait lipidique total peut être constitué par des phosphatides, des glycérides, des acides gras libres, des esters de cholestérol et des substances insaponifiables.</w:t>
      </w:r>
    </w:p>
    <w:p w:rsidR="00E47BF6" w:rsidRPr="00A15991" w:rsidRDefault="00E47BF6" w:rsidP="00E47BF6">
      <w:pPr>
        <w:pStyle w:val="Paragraphedeliste"/>
        <w:numPr>
          <w:ilvl w:val="0"/>
          <w:numId w:val="14"/>
        </w:numPr>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Isolement des phosphatides et dosage par leurs acides gras</w:t>
      </w:r>
    </w:p>
    <w:p w:rsidR="00AB73FD" w:rsidRPr="00A15991" w:rsidRDefault="00E47BF6" w:rsidP="00972AE0">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L’extrait lipidique total est dessous dans un faible volume de benzène, de chloroforme ou d’éther anhydre et les phosphatides sont précipités par addition d’acétone anhydre ( 9 vol pour 1 vol. de benzène, de chloroforme ou d’éther</w:t>
      </w:r>
      <w:r w:rsidR="00436B64" w:rsidRPr="00A15991">
        <w:rPr>
          <w:rFonts w:asciiTheme="majorBidi" w:hAnsiTheme="majorBidi" w:cstheme="majorBidi"/>
          <w:color w:val="000000"/>
          <w:sz w:val="24"/>
          <w:szCs w:val="24"/>
        </w:rPr>
        <w:t>) en présence de quelques gouttes d’une solution saturée de MgCl</w:t>
      </w:r>
      <w:r w:rsidR="00436B64" w:rsidRPr="00A15991">
        <w:rPr>
          <w:rFonts w:asciiTheme="majorBidi" w:hAnsiTheme="majorBidi" w:cstheme="majorBidi"/>
          <w:color w:val="000000"/>
          <w:sz w:val="24"/>
          <w:szCs w:val="24"/>
          <w:vertAlign w:val="subscript"/>
        </w:rPr>
        <w:t xml:space="preserve">2 </w:t>
      </w:r>
      <w:r w:rsidR="00436B64" w:rsidRPr="00A15991">
        <w:rPr>
          <w:rFonts w:asciiTheme="majorBidi" w:hAnsiTheme="majorBidi" w:cstheme="majorBidi"/>
          <w:color w:val="000000"/>
          <w:sz w:val="24"/>
          <w:szCs w:val="24"/>
        </w:rPr>
        <w:t>dans l’alcool absolu.</w:t>
      </w:r>
      <w:r w:rsidR="00366DDC" w:rsidRPr="00A15991">
        <w:rPr>
          <w:rFonts w:asciiTheme="majorBidi" w:hAnsiTheme="majorBidi" w:cstheme="majorBidi"/>
          <w:color w:val="000000"/>
          <w:sz w:val="24"/>
          <w:szCs w:val="24"/>
        </w:rPr>
        <w:t xml:space="preserve"> Après un séjour de 6 heurs dans la glacière, la totalité de phosphatides a précipité ; on centrifuge à 4200 Tr/mn pendant 20 mn. Pour purifier encore les phosphatides, il est bon d’effectuer une deuxième précipitation.</w:t>
      </w:r>
    </w:p>
    <w:p w:rsidR="00194013" w:rsidRPr="00A15991" w:rsidRDefault="00366DDC" w:rsidP="00194013">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Le précipité est ensuite saponifié</w:t>
      </w:r>
      <w:r w:rsidR="00FE71F0" w:rsidRPr="00A15991">
        <w:rPr>
          <w:rFonts w:asciiTheme="majorBidi" w:hAnsiTheme="majorBidi" w:cstheme="majorBidi"/>
          <w:color w:val="000000"/>
          <w:sz w:val="24"/>
          <w:szCs w:val="24"/>
        </w:rPr>
        <w:t xml:space="preserve"> </w:t>
      </w:r>
      <w:r w:rsidRPr="00A15991">
        <w:rPr>
          <w:rFonts w:asciiTheme="majorBidi" w:hAnsiTheme="majorBidi" w:cstheme="majorBidi"/>
          <w:color w:val="000000"/>
          <w:sz w:val="24"/>
          <w:szCs w:val="24"/>
        </w:rPr>
        <w:t>par addition d’une solution 2N de KOH</w:t>
      </w:r>
      <w:r w:rsidR="00FE71F0" w:rsidRPr="00A15991">
        <w:rPr>
          <w:rFonts w:asciiTheme="majorBidi" w:hAnsiTheme="majorBidi" w:cstheme="majorBidi"/>
          <w:color w:val="000000"/>
          <w:sz w:val="24"/>
          <w:szCs w:val="24"/>
        </w:rPr>
        <w:t xml:space="preserve"> dans l’alcool à 95° (25 cm</w:t>
      </w:r>
      <w:r w:rsidR="00FE71F0" w:rsidRPr="00A15991">
        <w:rPr>
          <w:rFonts w:asciiTheme="majorBidi" w:hAnsiTheme="majorBidi" w:cstheme="majorBidi"/>
          <w:color w:val="000000"/>
          <w:sz w:val="24"/>
          <w:szCs w:val="24"/>
          <w:vertAlign w:val="superscript"/>
        </w:rPr>
        <w:t xml:space="preserve">3 </w:t>
      </w:r>
      <w:r w:rsidR="00FE71F0" w:rsidRPr="00A15991">
        <w:rPr>
          <w:rFonts w:asciiTheme="majorBidi" w:hAnsiTheme="majorBidi" w:cstheme="majorBidi"/>
          <w:color w:val="000000"/>
          <w:sz w:val="24"/>
          <w:szCs w:val="24"/>
        </w:rPr>
        <w:t xml:space="preserve">par 1 g de précipité) pendant 2heures au bain marie bouillant. Après addition d’eau pour abaisser la teneur en alcool du milieu, on acidifie avec </w:t>
      </w:r>
      <w:proofErr w:type="spellStart"/>
      <w:r w:rsidR="00FE71F0" w:rsidRPr="00A15991">
        <w:rPr>
          <w:rFonts w:asciiTheme="majorBidi" w:hAnsiTheme="majorBidi" w:cstheme="majorBidi"/>
          <w:color w:val="000000"/>
          <w:sz w:val="24"/>
          <w:szCs w:val="24"/>
        </w:rPr>
        <w:t>HCl</w:t>
      </w:r>
      <w:proofErr w:type="spellEnd"/>
      <w:r w:rsidR="00FE71F0" w:rsidRPr="00A15991">
        <w:rPr>
          <w:rFonts w:asciiTheme="majorBidi" w:hAnsiTheme="majorBidi" w:cstheme="majorBidi"/>
          <w:color w:val="000000"/>
          <w:sz w:val="24"/>
          <w:szCs w:val="24"/>
        </w:rPr>
        <w:t xml:space="preserve"> au 1/3 et on extrait les acides gras par 3 extractions à éther sulfurique. Les phases éthérés sont réunies, séchées à l’alcool </w:t>
      </w:r>
      <w:r w:rsidR="00FE71F0" w:rsidRPr="00A15991">
        <w:rPr>
          <w:rFonts w:asciiTheme="majorBidi" w:hAnsiTheme="majorBidi" w:cstheme="majorBidi"/>
          <w:color w:val="000000"/>
          <w:sz w:val="24"/>
          <w:szCs w:val="24"/>
        </w:rPr>
        <w:lastRenderedPageBreak/>
        <w:t>absolu et les acides gras sont repris par de l’éther de pétrole d’anhydre (P.E 30- 50 °C) au dessus d’un filtre amiante-sable. Après évaporation on les pèse à poids constant.</w:t>
      </w:r>
    </w:p>
    <w:p w:rsidR="008178FB" w:rsidRPr="00A15991" w:rsidRDefault="008178FB" w:rsidP="00194013">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u w:val="single"/>
        </w:rPr>
        <w:t>Remarque :</w:t>
      </w:r>
      <w:r w:rsidRPr="00A15991">
        <w:rPr>
          <w:rFonts w:asciiTheme="majorBidi" w:hAnsiTheme="majorBidi" w:cstheme="majorBidi"/>
          <w:color w:val="000000"/>
          <w:sz w:val="24"/>
          <w:szCs w:val="24"/>
        </w:rPr>
        <w:t xml:space="preserve"> on peut évaluer les phosphatides par leur phosphore soit à partir de l’extrait lipidique total, soit à partir du précipité de phosphatides. Après minéralisation, on dose le P par méthode colorimétrique</w:t>
      </w:r>
      <w:r w:rsidR="00B56FD8" w:rsidRPr="00A15991">
        <w:rPr>
          <w:rFonts w:asciiTheme="majorBidi" w:hAnsiTheme="majorBidi" w:cstheme="majorBidi"/>
          <w:color w:val="000000"/>
          <w:sz w:val="24"/>
          <w:szCs w:val="24"/>
        </w:rPr>
        <w:t xml:space="preserve"> par exemple</w:t>
      </w:r>
      <w:r w:rsidRPr="00A15991">
        <w:rPr>
          <w:rFonts w:asciiTheme="majorBidi" w:hAnsiTheme="majorBidi" w:cstheme="majorBidi"/>
          <w:color w:val="000000"/>
          <w:sz w:val="24"/>
          <w:szCs w:val="24"/>
        </w:rPr>
        <w:t xml:space="preserve">. </w:t>
      </w:r>
    </w:p>
    <w:p w:rsidR="00B56FD8" w:rsidRPr="00A15991" w:rsidRDefault="00B56FD8" w:rsidP="00B56FD8">
      <w:pPr>
        <w:pStyle w:val="Paragraphedeliste"/>
        <w:numPr>
          <w:ilvl w:val="0"/>
          <w:numId w:val="14"/>
        </w:numPr>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Séparation des acides gras libres :</w:t>
      </w:r>
    </w:p>
    <w:p w:rsidR="00B56FD8" w:rsidRPr="00A15991" w:rsidRDefault="00B56FD8" w:rsidP="00972AE0">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Après avoir précipité les phosphatides</w:t>
      </w:r>
      <w:r w:rsidR="00972AE0" w:rsidRPr="00A15991">
        <w:rPr>
          <w:rFonts w:asciiTheme="majorBidi" w:hAnsiTheme="majorBidi" w:cstheme="majorBidi"/>
          <w:color w:val="000000"/>
          <w:sz w:val="24"/>
          <w:szCs w:val="24"/>
        </w:rPr>
        <w:t>,</w:t>
      </w:r>
      <w:r w:rsidRPr="00A15991">
        <w:rPr>
          <w:rFonts w:asciiTheme="majorBidi" w:hAnsiTheme="majorBidi" w:cstheme="majorBidi"/>
          <w:color w:val="000000"/>
          <w:sz w:val="24"/>
          <w:szCs w:val="24"/>
        </w:rPr>
        <w:t xml:space="preserve"> le liquide </w:t>
      </w:r>
      <w:proofErr w:type="spellStart"/>
      <w:r w:rsidRPr="00A15991">
        <w:rPr>
          <w:rFonts w:asciiTheme="majorBidi" w:hAnsiTheme="majorBidi" w:cstheme="majorBidi"/>
          <w:color w:val="000000"/>
          <w:sz w:val="24"/>
          <w:szCs w:val="24"/>
        </w:rPr>
        <w:t>acétonique</w:t>
      </w:r>
      <w:proofErr w:type="spellEnd"/>
      <w:r w:rsidRPr="00A15991">
        <w:rPr>
          <w:rFonts w:asciiTheme="majorBidi" w:hAnsiTheme="majorBidi" w:cstheme="majorBidi"/>
          <w:color w:val="000000"/>
          <w:sz w:val="24"/>
          <w:szCs w:val="24"/>
        </w:rPr>
        <w:t xml:space="preserve">  qui surnage contenant des acides gras libres, glycéride, esters de cholestérol et insaponifiables, est évaporé à sec.</w:t>
      </w:r>
      <w:r w:rsidR="00972AE0" w:rsidRPr="00A15991">
        <w:rPr>
          <w:rFonts w:asciiTheme="majorBidi" w:hAnsiTheme="majorBidi" w:cstheme="majorBidi"/>
          <w:color w:val="000000"/>
          <w:sz w:val="24"/>
          <w:szCs w:val="24"/>
        </w:rPr>
        <w:t xml:space="preserve"> On repre</w:t>
      </w:r>
      <w:r w:rsidRPr="00A15991">
        <w:rPr>
          <w:rFonts w:asciiTheme="majorBidi" w:hAnsiTheme="majorBidi" w:cstheme="majorBidi"/>
          <w:color w:val="000000"/>
          <w:sz w:val="24"/>
          <w:szCs w:val="24"/>
        </w:rPr>
        <w:t>nd les lipides par de l’éther de pétrol</w:t>
      </w:r>
      <w:r w:rsidR="00972AE0" w:rsidRPr="00A15991">
        <w:rPr>
          <w:rFonts w:asciiTheme="majorBidi" w:hAnsiTheme="majorBidi" w:cstheme="majorBidi"/>
          <w:color w:val="000000"/>
          <w:sz w:val="24"/>
          <w:szCs w:val="24"/>
        </w:rPr>
        <w:t>e</w:t>
      </w:r>
      <w:r w:rsidRPr="00A15991">
        <w:rPr>
          <w:rFonts w:asciiTheme="majorBidi" w:hAnsiTheme="majorBidi" w:cstheme="majorBidi"/>
          <w:color w:val="000000"/>
          <w:sz w:val="24"/>
          <w:szCs w:val="24"/>
        </w:rPr>
        <w:t xml:space="preserve"> et on fait 2 extractions à la potasse N/10 dans l’alcool 50°, puis 3 extractions de la phase </w:t>
      </w:r>
      <w:proofErr w:type="spellStart"/>
      <w:r w:rsidRPr="00A15991">
        <w:rPr>
          <w:rFonts w:asciiTheme="majorBidi" w:hAnsiTheme="majorBidi" w:cstheme="majorBidi"/>
          <w:color w:val="000000"/>
          <w:sz w:val="24"/>
          <w:szCs w:val="24"/>
        </w:rPr>
        <w:t>hydroalcoolique</w:t>
      </w:r>
      <w:proofErr w:type="spellEnd"/>
      <w:r w:rsidRPr="00A15991">
        <w:rPr>
          <w:rFonts w:asciiTheme="majorBidi" w:hAnsiTheme="majorBidi" w:cstheme="majorBidi"/>
          <w:color w:val="000000"/>
          <w:sz w:val="24"/>
          <w:szCs w:val="24"/>
        </w:rPr>
        <w:t xml:space="preserve"> par de l’éther de pétrole. La phase </w:t>
      </w:r>
      <w:proofErr w:type="spellStart"/>
      <w:r w:rsidRPr="00A15991">
        <w:rPr>
          <w:rFonts w:asciiTheme="majorBidi" w:hAnsiTheme="majorBidi" w:cstheme="majorBidi"/>
          <w:color w:val="000000"/>
          <w:sz w:val="24"/>
          <w:szCs w:val="24"/>
        </w:rPr>
        <w:t>hydroalcoolique</w:t>
      </w:r>
      <w:proofErr w:type="spellEnd"/>
      <w:r w:rsidRPr="00A15991">
        <w:rPr>
          <w:rFonts w:asciiTheme="majorBidi" w:hAnsiTheme="majorBidi" w:cstheme="majorBidi"/>
          <w:color w:val="000000"/>
          <w:sz w:val="24"/>
          <w:szCs w:val="24"/>
        </w:rPr>
        <w:t xml:space="preserve"> est mise à évaporer (réduction de 1</w:t>
      </w:r>
      <w:r w:rsidR="00972AE0" w:rsidRPr="00A15991">
        <w:rPr>
          <w:rFonts w:asciiTheme="majorBidi" w:hAnsiTheme="majorBidi" w:cstheme="majorBidi"/>
          <w:color w:val="000000"/>
          <w:sz w:val="24"/>
          <w:szCs w:val="24"/>
        </w:rPr>
        <w:t>/3 du</w:t>
      </w:r>
      <w:r w:rsidRPr="00A15991">
        <w:rPr>
          <w:rFonts w:asciiTheme="majorBidi" w:hAnsiTheme="majorBidi" w:cstheme="majorBidi"/>
          <w:color w:val="000000"/>
          <w:sz w:val="24"/>
          <w:szCs w:val="24"/>
        </w:rPr>
        <w:t xml:space="preserve"> volume)</w:t>
      </w:r>
      <w:r w:rsidR="00972AE0" w:rsidRPr="00A15991">
        <w:rPr>
          <w:rFonts w:asciiTheme="majorBidi" w:hAnsiTheme="majorBidi" w:cstheme="majorBidi"/>
          <w:color w:val="000000"/>
          <w:sz w:val="24"/>
          <w:szCs w:val="24"/>
        </w:rPr>
        <w:t xml:space="preserve"> et après acidification avec </w:t>
      </w:r>
      <w:proofErr w:type="spellStart"/>
      <w:r w:rsidR="00972AE0" w:rsidRPr="00A15991">
        <w:rPr>
          <w:rFonts w:asciiTheme="majorBidi" w:hAnsiTheme="majorBidi" w:cstheme="majorBidi"/>
          <w:color w:val="000000"/>
          <w:sz w:val="24"/>
          <w:szCs w:val="24"/>
        </w:rPr>
        <w:t>HCl</w:t>
      </w:r>
      <w:proofErr w:type="spellEnd"/>
      <w:r w:rsidR="00972AE0" w:rsidRPr="00A15991">
        <w:rPr>
          <w:rFonts w:asciiTheme="majorBidi" w:hAnsiTheme="majorBidi" w:cstheme="majorBidi"/>
          <w:color w:val="000000"/>
          <w:sz w:val="24"/>
          <w:szCs w:val="24"/>
        </w:rPr>
        <w:t xml:space="preserve"> au 1/3 on extrait les acides gras comme précédemment.</w:t>
      </w:r>
    </w:p>
    <w:p w:rsidR="00194013" w:rsidRPr="00A15991" w:rsidRDefault="00194013" w:rsidP="00194013">
      <w:pPr>
        <w:pStyle w:val="Paragraphedeliste"/>
        <w:numPr>
          <w:ilvl w:val="0"/>
          <w:numId w:val="14"/>
        </w:numPr>
        <w:jc w:val="both"/>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Séparation quantitative des glycérides (et esters de cholestérol) de l’insaponifiables total (technique de LEMELAND)</w:t>
      </w:r>
    </w:p>
    <w:p w:rsidR="001168B6" w:rsidRPr="00A15991" w:rsidRDefault="00BB51E9" w:rsidP="00BB51E9">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La phase d’éther de pétrole est  évaporée. On saponifie à reflux avec une solution de KOH 2N dans l’alcool à 95° (25 cm</w:t>
      </w:r>
      <w:r w:rsidRPr="00A15991">
        <w:rPr>
          <w:rFonts w:asciiTheme="majorBidi" w:hAnsiTheme="majorBidi" w:cstheme="majorBidi"/>
          <w:color w:val="000000"/>
          <w:sz w:val="24"/>
          <w:szCs w:val="24"/>
          <w:vertAlign w:val="superscript"/>
        </w:rPr>
        <w:t xml:space="preserve">3 </w:t>
      </w:r>
      <w:r w:rsidRPr="00A15991">
        <w:rPr>
          <w:rFonts w:asciiTheme="majorBidi" w:hAnsiTheme="majorBidi" w:cstheme="majorBidi"/>
          <w:color w:val="000000"/>
          <w:sz w:val="24"/>
          <w:szCs w:val="24"/>
        </w:rPr>
        <w:t xml:space="preserve">par 1 g de précipité) pendant 2heures au bain marie bouillant. On ajoute ensuite </w:t>
      </w:r>
      <w:proofErr w:type="spellStart"/>
      <w:r w:rsidRPr="00A15991">
        <w:rPr>
          <w:rFonts w:asciiTheme="majorBidi" w:hAnsiTheme="majorBidi" w:cstheme="majorBidi"/>
          <w:color w:val="000000"/>
          <w:sz w:val="24"/>
          <w:szCs w:val="24"/>
        </w:rPr>
        <w:t>HCl</w:t>
      </w:r>
      <w:proofErr w:type="spellEnd"/>
      <w:r w:rsidRPr="00A15991">
        <w:rPr>
          <w:rFonts w:asciiTheme="majorBidi" w:hAnsiTheme="majorBidi" w:cstheme="majorBidi"/>
          <w:color w:val="000000"/>
          <w:sz w:val="24"/>
          <w:szCs w:val="24"/>
        </w:rPr>
        <w:t xml:space="preserve"> normal, eau et alcool à 95°, pour obtenir un milieu N/10 dans l’alcool à 50°, seul milieu permettant de séparer les acides gras de l’insaponifiables. Si l’on utilise à </w:t>
      </w:r>
      <w:r w:rsidR="001168B6" w:rsidRPr="00A15991">
        <w:rPr>
          <w:rFonts w:asciiTheme="majorBidi" w:hAnsiTheme="majorBidi" w:cstheme="majorBidi"/>
          <w:color w:val="000000"/>
          <w:sz w:val="24"/>
          <w:szCs w:val="24"/>
        </w:rPr>
        <w:t>25 cm de KOH au départ, on ajoute 40 cm</w:t>
      </w:r>
      <w:r w:rsidR="001168B6" w:rsidRPr="00A15991">
        <w:rPr>
          <w:rFonts w:asciiTheme="majorBidi" w:hAnsiTheme="majorBidi" w:cstheme="majorBidi"/>
          <w:color w:val="000000"/>
          <w:sz w:val="24"/>
          <w:szCs w:val="24"/>
          <w:vertAlign w:val="superscript"/>
        </w:rPr>
        <w:t>3</w:t>
      </w:r>
      <w:r w:rsidR="001168B6" w:rsidRPr="00A15991">
        <w:rPr>
          <w:rFonts w:asciiTheme="majorBidi" w:hAnsiTheme="majorBidi" w:cstheme="majorBidi"/>
          <w:color w:val="000000"/>
          <w:sz w:val="24"/>
          <w:szCs w:val="24"/>
        </w:rPr>
        <w:t xml:space="preserve"> de </w:t>
      </w:r>
      <w:proofErr w:type="spellStart"/>
      <w:r w:rsidR="001168B6" w:rsidRPr="00A15991">
        <w:rPr>
          <w:rFonts w:asciiTheme="majorBidi" w:hAnsiTheme="majorBidi" w:cstheme="majorBidi"/>
          <w:color w:val="000000"/>
          <w:sz w:val="24"/>
          <w:szCs w:val="24"/>
        </w:rPr>
        <w:t>HCl</w:t>
      </w:r>
      <w:proofErr w:type="spellEnd"/>
      <w:r w:rsidR="001168B6" w:rsidRPr="00A15991">
        <w:rPr>
          <w:rFonts w:asciiTheme="majorBidi" w:hAnsiTheme="majorBidi" w:cstheme="majorBidi"/>
          <w:color w:val="000000"/>
          <w:sz w:val="24"/>
          <w:szCs w:val="24"/>
        </w:rPr>
        <w:t xml:space="preserve"> N, 26 cm</w:t>
      </w:r>
      <w:r w:rsidR="001168B6" w:rsidRPr="00A15991">
        <w:rPr>
          <w:rFonts w:asciiTheme="majorBidi" w:hAnsiTheme="majorBidi" w:cstheme="majorBidi"/>
          <w:color w:val="000000"/>
          <w:sz w:val="24"/>
          <w:szCs w:val="24"/>
          <w:vertAlign w:val="superscript"/>
        </w:rPr>
        <w:t>3</w:t>
      </w:r>
      <w:r w:rsidR="001168B6" w:rsidRPr="00A15991">
        <w:rPr>
          <w:rFonts w:asciiTheme="majorBidi" w:hAnsiTheme="majorBidi" w:cstheme="majorBidi"/>
          <w:color w:val="000000"/>
          <w:sz w:val="24"/>
          <w:szCs w:val="24"/>
        </w:rPr>
        <w:t>, 2 d’alcool à 95° et 8 cm</w:t>
      </w:r>
      <w:r w:rsidR="001168B6" w:rsidRPr="00A15991">
        <w:rPr>
          <w:rFonts w:asciiTheme="majorBidi" w:hAnsiTheme="majorBidi" w:cstheme="majorBidi"/>
          <w:color w:val="000000"/>
          <w:sz w:val="24"/>
          <w:szCs w:val="24"/>
          <w:vertAlign w:val="superscript"/>
        </w:rPr>
        <w:t>3</w:t>
      </w:r>
      <w:r w:rsidR="001168B6" w:rsidRPr="00A15991">
        <w:rPr>
          <w:rFonts w:asciiTheme="majorBidi" w:hAnsiTheme="majorBidi" w:cstheme="majorBidi"/>
          <w:color w:val="000000"/>
          <w:sz w:val="24"/>
          <w:szCs w:val="24"/>
        </w:rPr>
        <w:t>, 8 d’eau.</w:t>
      </w:r>
    </w:p>
    <w:p w:rsidR="002451C6" w:rsidRPr="00A15991" w:rsidRDefault="001168B6" w:rsidP="009469FC">
      <w:pPr>
        <w:jc w:val="both"/>
        <w:rPr>
          <w:rFonts w:asciiTheme="majorBidi" w:hAnsiTheme="majorBidi" w:cstheme="majorBidi"/>
          <w:color w:val="000000"/>
          <w:sz w:val="24"/>
          <w:szCs w:val="24"/>
        </w:rPr>
      </w:pPr>
      <w:r w:rsidRPr="00A15991">
        <w:rPr>
          <w:rFonts w:asciiTheme="majorBidi" w:hAnsiTheme="majorBidi" w:cstheme="majorBidi"/>
          <w:color w:val="000000"/>
          <w:sz w:val="24"/>
          <w:szCs w:val="24"/>
        </w:rPr>
        <w:t xml:space="preserve">On fait bouillir à reflux pendant 20 mn encore, puis on extrait l’insaponifiable par l’éther de pétrole 30°-70°. Les acides gras appartenant aux glycérides </w:t>
      </w:r>
      <w:r w:rsidR="00A54552" w:rsidRPr="00A15991">
        <w:rPr>
          <w:rFonts w:asciiTheme="majorBidi" w:hAnsiTheme="majorBidi" w:cstheme="majorBidi"/>
          <w:color w:val="000000"/>
          <w:sz w:val="24"/>
          <w:szCs w:val="24"/>
        </w:rPr>
        <w:t>(</w:t>
      </w:r>
      <w:r w:rsidRPr="00A15991">
        <w:rPr>
          <w:rFonts w:asciiTheme="majorBidi" w:hAnsiTheme="majorBidi" w:cstheme="majorBidi"/>
          <w:color w:val="000000"/>
          <w:sz w:val="24"/>
          <w:szCs w:val="24"/>
        </w:rPr>
        <w:t xml:space="preserve">et aux esters de cholestérol s’il s’agit de tissus animaux) passent dans la phase </w:t>
      </w:r>
      <w:proofErr w:type="spellStart"/>
      <w:r w:rsidRPr="00A15991">
        <w:rPr>
          <w:rFonts w:asciiTheme="majorBidi" w:hAnsiTheme="majorBidi" w:cstheme="majorBidi"/>
          <w:color w:val="000000"/>
          <w:sz w:val="24"/>
          <w:szCs w:val="24"/>
        </w:rPr>
        <w:t>hydroalcoolique</w:t>
      </w:r>
      <w:proofErr w:type="spellEnd"/>
      <w:r w:rsidRPr="00A15991">
        <w:rPr>
          <w:rFonts w:asciiTheme="majorBidi" w:hAnsiTheme="majorBidi" w:cstheme="majorBidi"/>
          <w:color w:val="000000"/>
          <w:sz w:val="24"/>
          <w:szCs w:val="24"/>
        </w:rPr>
        <w:t xml:space="preserve"> ou il forme des savons, on extrait comme précédemment, l’insaponifiable reste dans l’</w:t>
      </w:r>
      <w:r w:rsidR="00A54552" w:rsidRPr="00A15991">
        <w:rPr>
          <w:rFonts w:asciiTheme="majorBidi" w:hAnsiTheme="majorBidi" w:cstheme="majorBidi"/>
          <w:color w:val="000000"/>
          <w:sz w:val="24"/>
          <w:szCs w:val="24"/>
        </w:rPr>
        <w:t>é</w:t>
      </w:r>
      <w:r w:rsidRPr="00A15991">
        <w:rPr>
          <w:rFonts w:asciiTheme="majorBidi" w:hAnsiTheme="majorBidi" w:cstheme="majorBidi"/>
          <w:color w:val="000000"/>
          <w:sz w:val="24"/>
          <w:szCs w:val="24"/>
        </w:rPr>
        <w:t>ther de pétrole</w:t>
      </w:r>
      <w:r w:rsidR="00A54552" w:rsidRPr="00A15991">
        <w:rPr>
          <w:rFonts w:asciiTheme="majorBidi" w:hAnsiTheme="majorBidi" w:cstheme="majorBidi"/>
          <w:color w:val="000000"/>
          <w:sz w:val="24"/>
          <w:szCs w:val="24"/>
        </w:rPr>
        <w:t xml:space="preserve">. Après évaporation et séchage, on reprend par l’éther de pétrole anhydre ; on le sèche et l’on pèse à poids constant. </w:t>
      </w:r>
    </w:p>
    <w:p w:rsidR="009469FC" w:rsidRPr="00A15991" w:rsidRDefault="002451C6" w:rsidP="002451C6">
      <w:pPr>
        <w:pStyle w:val="Paragraphedeliste"/>
        <w:numPr>
          <w:ilvl w:val="0"/>
          <w:numId w:val="14"/>
        </w:numPr>
        <w:jc w:val="both"/>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Dosage du cholestérol :</w:t>
      </w:r>
    </w:p>
    <w:p w:rsidR="002451C6" w:rsidRPr="00A15991" w:rsidRDefault="002451C6" w:rsidP="00B05EB2">
      <w:pPr>
        <w:pStyle w:val="Paragraphedeliste"/>
        <w:numPr>
          <w:ilvl w:val="0"/>
          <w:numId w:val="17"/>
        </w:numPr>
        <w:ind w:left="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 xml:space="preserve">Méthode gravimétrique : </w:t>
      </w:r>
      <w:r w:rsidRPr="00A15991">
        <w:rPr>
          <w:rFonts w:asciiTheme="majorBidi" w:hAnsiTheme="majorBidi" w:cstheme="majorBidi"/>
          <w:color w:val="000000"/>
          <w:sz w:val="24"/>
          <w:szCs w:val="24"/>
        </w:rPr>
        <w:t xml:space="preserve">c’est la méthode classique de </w:t>
      </w:r>
      <w:proofErr w:type="spellStart"/>
      <w:r w:rsidRPr="00A15991">
        <w:rPr>
          <w:rFonts w:asciiTheme="majorBidi" w:hAnsiTheme="majorBidi" w:cstheme="majorBidi"/>
          <w:color w:val="000000"/>
          <w:sz w:val="24"/>
          <w:szCs w:val="24"/>
        </w:rPr>
        <w:t>Windous</w:t>
      </w:r>
      <w:proofErr w:type="spellEnd"/>
      <w:r w:rsidRPr="00A15991">
        <w:rPr>
          <w:rFonts w:asciiTheme="majorBidi" w:hAnsiTheme="majorBidi" w:cstheme="majorBidi"/>
          <w:color w:val="000000"/>
          <w:sz w:val="24"/>
          <w:szCs w:val="24"/>
        </w:rPr>
        <w:t>-</w:t>
      </w:r>
      <w:proofErr w:type="spellStart"/>
      <w:r w:rsidRPr="00A15991">
        <w:rPr>
          <w:rFonts w:asciiTheme="majorBidi" w:hAnsiTheme="majorBidi" w:cstheme="majorBidi"/>
          <w:color w:val="000000"/>
          <w:sz w:val="24"/>
          <w:szCs w:val="24"/>
        </w:rPr>
        <w:t>Caminade</w:t>
      </w:r>
      <w:proofErr w:type="spellEnd"/>
      <w:r w:rsidRPr="00A15991">
        <w:rPr>
          <w:rFonts w:asciiTheme="majorBidi" w:hAnsiTheme="majorBidi" w:cstheme="majorBidi"/>
          <w:color w:val="000000"/>
          <w:sz w:val="24"/>
          <w:szCs w:val="24"/>
        </w:rPr>
        <w:t xml:space="preserve">, on dose le cholestérol sous forme de complexe avec la </w:t>
      </w:r>
      <w:proofErr w:type="spellStart"/>
      <w:r w:rsidRPr="00A15991">
        <w:rPr>
          <w:rFonts w:asciiTheme="majorBidi" w:hAnsiTheme="majorBidi" w:cstheme="majorBidi"/>
          <w:color w:val="000000"/>
          <w:sz w:val="24"/>
          <w:szCs w:val="24"/>
        </w:rPr>
        <w:t>digitonine</w:t>
      </w:r>
      <w:proofErr w:type="spellEnd"/>
      <w:r w:rsidRPr="00A15991">
        <w:rPr>
          <w:rFonts w:asciiTheme="majorBidi" w:hAnsiTheme="majorBidi" w:cstheme="majorBidi"/>
          <w:color w:val="000000"/>
          <w:sz w:val="24"/>
          <w:szCs w:val="24"/>
        </w:rPr>
        <w:t xml:space="preserve"> </w:t>
      </w:r>
      <w:proofErr w:type="gramStart"/>
      <w:r w:rsidRPr="00A15991">
        <w:rPr>
          <w:rFonts w:asciiTheme="majorBidi" w:hAnsiTheme="majorBidi" w:cstheme="majorBidi"/>
          <w:color w:val="FF0000"/>
          <w:sz w:val="24"/>
          <w:szCs w:val="24"/>
        </w:rPr>
        <w:t>( ???</w:t>
      </w:r>
      <w:proofErr w:type="gramEnd"/>
      <w:r w:rsidRPr="00A15991">
        <w:rPr>
          <w:rFonts w:asciiTheme="majorBidi" w:hAnsiTheme="majorBidi" w:cstheme="majorBidi"/>
          <w:color w:val="FF0000"/>
          <w:sz w:val="24"/>
          <w:szCs w:val="24"/>
        </w:rPr>
        <w:t>)</w:t>
      </w:r>
      <w:r w:rsidRPr="00A15991">
        <w:rPr>
          <w:rFonts w:asciiTheme="majorBidi" w:hAnsiTheme="majorBidi" w:cstheme="majorBidi"/>
          <w:color w:val="000000"/>
          <w:sz w:val="24"/>
          <w:szCs w:val="24"/>
        </w:rPr>
        <w:t xml:space="preserve"> ; on évalue le cholestérol libre dans l’extrait lipidique total et le cholestérol total dans l’insaponifiable total obtenu après saponification. </w:t>
      </w:r>
    </w:p>
    <w:p w:rsidR="00321D55" w:rsidRPr="00A15991" w:rsidRDefault="002451C6" w:rsidP="00321D55">
      <w:pPr>
        <w:pStyle w:val="Paragraphedeliste"/>
        <w:numPr>
          <w:ilvl w:val="0"/>
          <w:numId w:val="17"/>
        </w:numPr>
        <w:ind w:left="0"/>
        <w:jc w:val="both"/>
        <w:rPr>
          <w:rFonts w:asciiTheme="majorBidi" w:hAnsiTheme="majorBidi" w:cstheme="majorBidi"/>
          <w:color w:val="000000"/>
          <w:sz w:val="24"/>
          <w:szCs w:val="24"/>
        </w:rPr>
      </w:pPr>
      <w:r w:rsidRPr="00A15991">
        <w:rPr>
          <w:rFonts w:asciiTheme="majorBidi" w:hAnsiTheme="majorBidi" w:cstheme="majorBidi"/>
          <w:b/>
          <w:bCs/>
          <w:color w:val="000000"/>
          <w:sz w:val="24"/>
          <w:szCs w:val="24"/>
        </w:rPr>
        <w:t>Méthodes colorimétrique :</w:t>
      </w:r>
      <w:r w:rsidRPr="00A15991">
        <w:rPr>
          <w:rFonts w:asciiTheme="majorBidi" w:hAnsiTheme="majorBidi" w:cstheme="majorBidi"/>
          <w:color w:val="000000"/>
          <w:sz w:val="24"/>
          <w:szCs w:val="24"/>
        </w:rPr>
        <w:t xml:space="preserve"> elles sont utilisées pour de petite quantité de cholestérol (cholestérol estérifié ou total dessous dans le chloroforme donne en présence </w:t>
      </w:r>
      <w:r w:rsidR="00B05EB2" w:rsidRPr="00A15991">
        <w:rPr>
          <w:rFonts w:asciiTheme="majorBidi" w:hAnsiTheme="majorBidi" w:cstheme="majorBidi"/>
          <w:color w:val="000000"/>
          <w:sz w:val="24"/>
          <w:szCs w:val="24"/>
        </w:rPr>
        <w:t>d’acide sulfurique la réaction colorée de LIEBER-MANN-BURCHARD.</w:t>
      </w:r>
      <w:r w:rsidRPr="00A15991">
        <w:rPr>
          <w:rFonts w:asciiTheme="majorBidi" w:hAnsiTheme="majorBidi" w:cstheme="majorBidi"/>
          <w:color w:val="000000"/>
          <w:sz w:val="24"/>
          <w:szCs w:val="24"/>
        </w:rPr>
        <w:t xml:space="preserve">  </w:t>
      </w:r>
    </w:p>
    <w:p w:rsidR="00A565E5" w:rsidRPr="00A15991" w:rsidRDefault="00A565E5" w:rsidP="00A565E5">
      <w:pPr>
        <w:pStyle w:val="Paragraphedeliste"/>
        <w:ind w:left="0"/>
        <w:jc w:val="both"/>
        <w:rPr>
          <w:rFonts w:asciiTheme="majorBidi" w:hAnsiTheme="majorBidi" w:cstheme="majorBidi"/>
          <w:b/>
          <w:bCs/>
          <w:color w:val="000000"/>
          <w:sz w:val="24"/>
          <w:szCs w:val="24"/>
        </w:rPr>
      </w:pPr>
    </w:p>
    <w:p w:rsidR="00321D55" w:rsidRPr="00A15991" w:rsidRDefault="00321D55" w:rsidP="00A565E5">
      <w:pPr>
        <w:pStyle w:val="Paragraphedeliste"/>
        <w:ind w:left="0"/>
        <w:jc w:val="both"/>
        <w:rPr>
          <w:rFonts w:asciiTheme="majorBidi" w:hAnsiTheme="majorBidi" w:cstheme="majorBidi"/>
          <w:b/>
          <w:bCs/>
          <w:color w:val="000000"/>
          <w:sz w:val="24"/>
          <w:szCs w:val="24"/>
        </w:rPr>
      </w:pPr>
      <w:r w:rsidRPr="00A15991">
        <w:rPr>
          <w:rFonts w:asciiTheme="majorBidi" w:hAnsiTheme="majorBidi" w:cstheme="majorBidi"/>
          <w:b/>
          <w:bCs/>
          <w:color w:val="000000"/>
          <w:sz w:val="24"/>
          <w:szCs w:val="24"/>
        </w:rPr>
        <w:t xml:space="preserve">II- </w:t>
      </w:r>
      <w:r w:rsidR="000B55B0">
        <w:rPr>
          <w:rFonts w:asciiTheme="majorBidi" w:hAnsiTheme="majorBidi" w:cstheme="majorBidi"/>
          <w:b/>
          <w:bCs/>
          <w:color w:val="000000"/>
          <w:sz w:val="24"/>
          <w:szCs w:val="24"/>
        </w:rPr>
        <w:t>C</w:t>
      </w:r>
      <w:r w:rsidR="00A565E5" w:rsidRPr="00A15991">
        <w:rPr>
          <w:rFonts w:asciiTheme="majorBidi" w:hAnsiTheme="majorBidi" w:cstheme="majorBidi"/>
          <w:b/>
          <w:bCs/>
          <w:color w:val="000000"/>
          <w:sz w:val="24"/>
          <w:szCs w:val="24"/>
        </w:rPr>
        <w:t>aractérisation chimique</w:t>
      </w:r>
      <w:r w:rsidRPr="00A15991">
        <w:rPr>
          <w:rFonts w:asciiTheme="majorBidi" w:hAnsiTheme="majorBidi" w:cstheme="majorBidi"/>
          <w:b/>
          <w:bCs/>
          <w:color w:val="000000"/>
          <w:sz w:val="24"/>
          <w:szCs w:val="24"/>
        </w:rPr>
        <w:t xml:space="preserve"> d’une huil</w:t>
      </w:r>
      <w:r w:rsidR="00A565E5" w:rsidRPr="00A15991">
        <w:rPr>
          <w:rFonts w:asciiTheme="majorBidi" w:hAnsiTheme="majorBidi" w:cstheme="majorBidi"/>
          <w:b/>
          <w:bCs/>
          <w:color w:val="000000"/>
          <w:sz w:val="24"/>
          <w:szCs w:val="24"/>
        </w:rPr>
        <w:t>e</w:t>
      </w:r>
      <w:r w:rsidRPr="00A15991">
        <w:rPr>
          <w:rFonts w:asciiTheme="majorBidi" w:hAnsiTheme="majorBidi" w:cstheme="majorBidi"/>
          <w:b/>
          <w:bCs/>
          <w:color w:val="000000"/>
          <w:sz w:val="24"/>
          <w:szCs w:val="24"/>
        </w:rPr>
        <w:t xml:space="preserve"> ou d’une graisse</w:t>
      </w:r>
    </w:p>
    <w:p w:rsidR="00981E64" w:rsidRPr="00A15991" w:rsidRDefault="00981E64" w:rsidP="00A565E5">
      <w:p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1- Acidité</w:t>
      </w:r>
    </w:p>
    <w:p w:rsidR="00981E64" w:rsidRPr="00A15991" w:rsidRDefault="00981E64"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Au cours de la conservation d’une matière grasse, il se produit l’hydrolyse chimique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ou enzymatique des triglycérides et libération d’acides gras ou formation secondaire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d’acides à courtes chaînes. La mesure de l’acidité est un moyen pour déterminer le degré</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 xml:space="preserve">d’altération </w:t>
      </w:r>
      <w:r w:rsidRPr="00A15991">
        <w:rPr>
          <w:rFonts w:asciiTheme="majorBidi" w:hAnsiTheme="majorBidi" w:cstheme="majorBidi"/>
          <w:sz w:val="24"/>
          <w:szCs w:val="24"/>
        </w:rPr>
        <w:lastRenderedPageBreak/>
        <w:t>d’une matière grasse. Ce paramètre est utilisé comme un indicateur de qualité</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par exemple, le choix d’une huile pour la friture. Quelques fois l’acidité limite pour l’huile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de friture est prise à 1% (2mg KOH/g).</w:t>
      </w:r>
    </w:p>
    <w:p w:rsidR="00981E64" w:rsidRPr="00A15991" w:rsidRDefault="00981E64" w:rsidP="00A565E5">
      <w:pPr>
        <w:autoSpaceDE w:val="0"/>
        <w:autoSpaceDN w:val="0"/>
        <w:adjustRightInd w:val="0"/>
        <w:spacing w:after="0"/>
        <w:jc w:val="both"/>
        <w:rPr>
          <w:rFonts w:asciiTheme="majorBidi" w:hAnsiTheme="majorBidi" w:cstheme="majorBidi"/>
          <w:sz w:val="24"/>
          <w:szCs w:val="24"/>
          <w:u w:val="single"/>
        </w:rPr>
      </w:pPr>
      <w:r w:rsidRPr="00A15991">
        <w:rPr>
          <w:rFonts w:asciiTheme="majorBidi" w:hAnsiTheme="majorBidi" w:cstheme="majorBidi"/>
          <w:sz w:val="24"/>
          <w:szCs w:val="24"/>
          <w:u w:val="single"/>
        </w:rPr>
        <w:t>Principe</w:t>
      </w:r>
      <w:r w:rsidR="00826B8B">
        <w:rPr>
          <w:rFonts w:asciiTheme="majorBidi" w:hAnsiTheme="majorBidi" w:cstheme="majorBidi"/>
          <w:sz w:val="24"/>
          <w:szCs w:val="24"/>
          <w:u w:val="single"/>
        </w:rPr>
        <w:t> :</w:t>
      </w:r>
    </w:p>
    <w:p w:rsidR="00981E64" w:rsidRPr="00A15991" w:rsidRDefault="00981E64"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L’huile à analyser est mise en solution dans l’alcool éthylique à température avoisinante l’ébullition. Le titrage est réalisé par une solution d’hydroxyde de potassium (KOH) jusqu’au virage de la couleur de l’indicateur coloré, la phénolphtaléine, au rose.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La neutralisation se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fait selon la réaction suivante :</w:t>
      </w:r>
    </w:p>
    <w:p w:rsidR="0065148F" w:rsidRPr="00A15991" w:rsidRDefault="0065148F" w:rsidP="00A565E5">
      <w:pPr>
        <w:pStyle w:val="Paragraphedeliste"/>
        <w:ind w:left="0"/>
        <w:jc w:val="center"/>
        <w:rPr>
          <w:rFonts w:asciiTheme="majorBidi" w:hAnsiTheme="majorBidi" w:cstheme="majorBidi"/>
          <w:sz w:val="24"/>
          <w:szCs w:val="24"/>
        </w:rPr>
      </w:pPr>
      <w:r w:rsidRPr="00A15991">
        <w:rPr>
          <w:rFonts w:asciiTheme="majorBidi" w:hAnsiTheme="majorBidi" w:cstheme="majorBidi"/>
          <w:noProof/>
          <w:sz w:val="24"/>
          <w:szCs w:val="24"/>
        </w:rPr>
        <w:drawing>
          <wp:inline distT="0" distB="0" distL="0" distR="0">
            <wp:extent cx="3881755" cy="119888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81755" cy="1198880"/>
                    </a:xfrm>
                    <a:prstGeom prst="rect">
                      <a:avLst/>
                    </a:prstGeom>
                    <a:noFill/>
                    <a:ln w="9525">
                      <a:noFill/>
                      <a:miter lim="800000"/>
                      <a:headEnd/>
                      <a:tailEnd/>
                    </a:ln>
                  </pic:spPr>
                </pic:pic>
              </a:graphicData>
            </a:graphic>
          </wp:inline>
        </w:drawing>
      </w:r>
    </w:p>
    <w:p w:rsidR="0065148F" w:rsidRPr="00A15991" w:rsidRDefault="0065148F" w:rsidP="00A565E5">
      <w:pPr>
        <w:pStyle w:val="Paragraphedeliste"/>
        <w:ind w:left="0"/>
        <w:jc w:val="both"/>
        <w:rPr>
          <w:rFonts w:asciiTheme="majorBidi" w:hAnsiTheme="majorBidi" w:cstheme="majorBidi"/>
          <w:sz w:val="24"/>
          <w:szCs w:val="24"/>
        </w:rPr>
      </w:pPr>
    </w:p>
    <w:p w:rsidR="0065148F" w:rsidRPr="00A15991" w:rsidRDefault="0065148F" w:rsidP="00A565E5">
      <w:pPr>
        <w:pStyle w:val="Paragraphedeliste"/>
        <w:numPr>
          <w:ilvl w:val="0"/>
          <w:numId w:val="10"/>
        </w:num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Indice de saponification (Is)</w:t>
      </w:r>
    </w:p>
    <w:p w:rsidR="0065148F" w:rsidRPr="00A15991"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L’indice de saponification est défini comme étant la quantité de base nécessaire pour</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saponifier une quantité donnée d’huile ou de graisse. Elle est exprimée en mg de KOH</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requise pour saponifier 1g d’échantillon. Il peut renseigner sur le taux de glycérides.</w:t>
      </w:r>
    </w:p>
    <w:p w:rsidR="0065148F" w:rsidRPr="00A15991" w:rsidRDefault="0065148F" w:rsidP="00A565E5">
      <w:pPr>
        <w:autoSpaceDE w:val="0"/>
        <w:autoSpaceDN w:val="0"/>
        <w:adjustRightInd w:val="0"/>
        <w:spacing w:after="0"/>
        <w:jc w:val="both"/>
        <w:rPr>
          <w:rFonts w:asciiTheme="majorBidi" w:hAnsiTheme="majorBidi" w:cstheme="majorBidi"/>
          <w:sz w:val="24"/>
          <w:szCs w:val="24"/>
          <w:u w:val="single"/>
        </w:rPr>
      </w:pPr>
      <w:r w:rsidRPr="00A15991">
        <w:rPr>
          <w:rFonts w:asciiTheme="majorBidi" w:hAnsiTheme="majorBidi" w:cstheme="majorBidi"/>
          <w:sz w:val="24"/>
          <w:szCs w:val="24"/>
          <w:u w:val="single"/>
        </w:rPr>
        <w:t>Principe</w:t>
      </w:r>
      <w:r w:rsidR="00A565E5" w:rsidRPr="00A15991">
        <w:rPr>
          <w:rFonts w:asciiTheme="majorBidi" w:hAnsiTheme="majorBidi" w:cstheme="majorBidi"/>
          <w:sz w:val="24"/>
          <w:szCs w:val="24"/>
          <w:u w:val="single"/>
        </w:rPr>
        <w:t> :</w:t>
      </w:r>
    </w:p>
    <w:p w:rsidR="0065148F" w:rsidRPr="00A15991"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La matière grasse est saponifiée par traitement avec une base (KOH, ex. 0,52N) sous</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chauffage pendant 1</w:t>
      </w:r>
      <w:r w:rsidR="00A565E5" w:rsidRPr="00A15991">
        <w:rPr>
          <w:rFonts w:asciiTheme="majorBidi" w:hAnsiTheme="majorBidi" w:cstheme="majorBidi"/>
          <w:sz w:val="24"/>
          <w:szCs w:val="24"/>
        </w:rPr>
        <w:t xml:space="preserve"> heure</w:t>
      </w:r>
      <w:r w:rsidRPr="00A15991">
        <w:rPr>
          <w:rFonts w:asciiTheme="majorBidi" w:hAnsiTheme="majorBidi" w:cstheme="majorBidi"/>
          <w:sz w:val="24"/>
          <w:szCs w:val="24"/>
        </w:rPr>
        <w:t>. L’excès d’hydroxyde de potassium</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(KOH) est titré par une solution d’acide chlorhydrique (</w:t>
      </w:r>
      <w:proofErr w:type="spellStart"/>
      <w:r w:rsidRPr="00A15991">
        <w:rPr>
          <w:rFonts w:asciiTheme="majorBidi" w:hAnsiTheme="majorBidi" w:cstheme="majorBidi"/>
          <w:sz w:val="24"/>
          <w:szCs w:val="24"/>
        </w:rPr>
        <w:t>HCl</w:t>
      </w:r>
      <w:proofErr w:type="spellEnd"/>
      <w:r w:rsidRPr="00A15991">
        <w:rPr>
          <w:rFonts w:asciiTheme="majorBidi" w:hAnsiTheme="majorBidi" w:cstheme="majorBidi"/>
          <w:sz w:val="24"/>
          <w:szCs w:val="24"/>
        </w:rPr>
        <w:t>, ex. 0,52N) en présence d’un</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indicateur coloré, la phénolphtaléine.</w:t>
      </w:r>
    </w:p>
    <w:p w:rsidR="0065148F" w:rsidRPr="00A15991" w:rsidRDefault="0065148F" w:rsidP="00A565E5">
      <w:pPr>
        <w:pStyle w:val="Paragraphedeliste"/>
        <w:ind w:left="0"/>
        <w:jc w:val="both"/>
        <w:rPr>
          <w:rFonts w:asciiTheme="majorBidi" w:hAnsiTheme="majorBidi" w:cstheme="majorBidi"/>
          <w:sz w:val="24"/>
          <w:szCs w:val="24"/>
        </w:rPr>
      </w:pPr>
    </w:p>
    <w:p w:rsidR="0065148F" w:rsidRPr="00A15991" w:rsidRDefault="0065148F" w:rsidP="00A565E5">
      <w:pPr>
        <w:pStyle w:val="Paragraphedeliste"/>
        <w:ind w:left="0"/>
        <w:jc w:val="center"/>
        <w:rPr>
          <w:rFonts w:asciiTheme="majorBidi" w:hAnsiTheme="majorBidi" w:cstheme="majorBidi"/>
          <w:sz w:val="24"/>
          <w:szCs w:val="24"/>
        </w:rPr>
      </w:pPr>
      <w:r w:rsidRPr="00A15991">
        <w:rPr>
          <w:rFonts w:asciiTheme="majorBidi" w:hAnsiTheme="majorBidi" w:cstheme="majorBidi"/>
          <w:noProof/>
          <w:sz w:val="24"/>
          <w:szCs w:val="24"/>
        </w:rPr>
        <w:drawing>
          <wp:inline distT="0" distB="0" distL="0" distR="0">
            <wp:extent cx="5236210" cy="2355215"/>
            <wp:effectExtent l="19050" t="0" r="254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40523" cy="2355012"/>
                    </a:xfrm>
                    <a:prstGeom prst="rect">
                      <a:avLst/>
                    </a:prstGeom>
                    <a:noFill/>
                    <a:ln w="9525">
                      <a:noFill/>
                      <a:miter lim="800000"/>
                      <a:headEnd/>
                      <a:tailEnd/>
                    </a:ln>
                  </pic:spPr>
                </pic:pic>
              </a:graphicData>
            </a:graphic>
          </wp:inline>
        </w:drawing>
      </w:r>
    </w:p>
    <w:p w:rsidR="0065148F" w:rsidRPr="00A15991" w:rsidRDefault="0065148F" w:rsidP="00A565E5">
      <w:pPr>
        <w:pStyle w:val="Paragraphedeliste"/>
        <w:ind w:left="0"/>
        <w:jc w:val="both"/>
        <w:rPr>
          <w:rFonts w:asciiTheme="majorBidi" w:hAnsiTheme="majorBidi" w:cstheme="majorBidi"/>
          <w:sz w:val="24"/>
          <w:szCs w:val="24"/>
        </w:rPr>
      </w:pPr>
    </w:p>
    <w:p w:rsidR="0065148F" w:rsidRPr="00A15991" w:rsidRDefault="0065148F" w:rsidP="00A565E5">
      <w:pPr>
        <w:pStyle w:val="Paragraphedeliste"/>
        <w:numPr>
          <w:ilvl w:val="0"/>
          <w:numId w:val="10"/>
        </w:num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Insaponifiables</w:t>
      </w:r>
    </w:p>
    <w:p w:rsidR="0065148F"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Les matières insaponifiables d’un corps gras sont l’ensemble des substances qui ne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sont pas susceptibles d’être modifiées par la réaction de saponification et restent</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insolubles dans l’eau. Les insaponifiables sont formés par les stérols, les pigments</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(caroténoïdes), les vitamines liposolubles (vitamines E, A et K) et les hydrocarbures.</w:t>
      </w:r>
    </w:p>
    <w:p w:rsidR="00826B8B" w:rsidRPr="00A15991" w:rsidRDefault="00826B8B" w:rsidP="00A565E5">
      <w:pPr>
        <w:autoSpaceDE w:val="0"/>
        <w:autoSpaceDN w:val="0"/>
        <w:adjustRightInd w:val="0"/>
        <w:spacing w:after="0"/>
        <w:jc w:val="both"/>
        <w:rPr>
          <w:rFonts w:asciiTheme="majorBidi" w:hAnsiTheme="majorBidi" w:cstheme="majorBidi"/>
          <w:sz w:val="24"/>
          <w:szCs w:val="24"/>
        </w:rPr>
      </w:pPr>
    </w:p>
    <w:p w:rsidR="0065148F" w:rsidRPr="00A15991" w:rsidRDefault="0065148F" w:rsidP="00A565E5">
      <w:pPr>
        <w:autoSpaceDE w:val="0"/>
        <w:autoSpaceDN w:val="0"/>
        <w:adjustRightInd w:val="0"/>
        <w:spacing w:after="0"/>
        <w:jc w:val="both"/>
        <w:rPr>
          <w:rFonts w:asciiTheme="majorBidi" w:hAnsiTheme="majorBidi" w:cstheme="majorBidi"/>
          <w:sz w:val="24"/>
          <w:szCs w:val="24"/>
          <w:u w:val="single"/>
        </w:rPr>
      </w:pPr>
      <w:r w:rsidRPr="00A15991">
        <w:rPr>
          <w:rFonts w:asciiTheme="majorBidi" w:hAnsiTheme="majorBidi" w:cstheme="majorBidi"/>
          <w:sz w:val="24"/>
          <w:szCs w:val="24"/>
          <w:u w:val="single"/>
        </w:rPr>
        <w:lastRenderedPageBreak/>
        <w:t>Principe</w:t>
      </w:r>
      <w:r w:rsidR="00826B8B">
        <w:rPr>
          <w:rFonts w:asciiTheme="majorBidi" w:hAnsiTheme="majorBidi" w:cstheme="majorBidi"/>
          <w:sz w:val="24"/>
          <w:szCs w:val="24"/>
          <w:u w:val="single"/>
        </w:rPr>
        <w:t> :</w:t>
      </w:r>
    </w:p>
    <w:p w:rsidR="0065148F" w:rsidRPr="00A15991"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Après saponification d’un corps gras par la potasse, la solution contient en plus de la</w:t>
      </w:r>
      <w:r w:rsidR="00A565E5" w:rsidRPr="00A15991">
        <w:rPr>
          <w:rFonts w:asciiTheme="majorBidi" w:hAnsiTheme="majorBidi" w:cstheme="majorBidi"/>
          <w:sz w:val="24"/>
          <w:szCs w:val="24"/>
        </w:rPr>
        <w:t xml:space="preserve"> </w:t>
      </w:r>
      <w:r w:rsidR="00826B8B">
        <w:rPr>
          <w:rFonts w:asciiTheme="majorBidi" w:hAnsiTheme="majorBidi" w:cstheme="majorBidi"/>
          <w:sz w:val="24"/>
          <w:szCs w:val="24"/>
        </w:rPr>
        <w:t>potasse (</w:t>
      </w:r>
      <w:r w:rsidRPr="00A15991">
        <w:rPr>
          <w:rFonts w:asciiTheme="majorBidi" w:hAnsiTheme="majorBidi" w:cstheme="majorBidi"/>
          <w:sz w:val="24"/>
          <w:szCs w:val="24"/>
        </w:rPr>
        <w:t>en excès), des savons et du glycérol, des constituants insaponifiables qui sont</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récupérés par un solvant non polaire tel que l’hexane. Leur quantification se fait après</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évaporation de solvant apolaire.</w:t>
      </w:r>
    </w:p>
    <w:p w:rsidR="0065148F" w:rsidRPr="00A15991" w:rsidRDefault="0065148F" w:rsidP="00A565E5">
      <w:pPr>
        <w:pStyle w:val="Paragraphedeliste"/>
        <w:numPr>
          <w:ilvl w:val="0"/>
          <w:numId w:val="10"/>
        </w:numPr>
        <w:autoSpaceDE w:val="0"/>
        <w:autoSpaceDN w:val="0"/>
        <w:adjustRightInd w:val="0"/>
        <w:spacing w:after="0"/>
        <w:jc w:val="both"/>
        <w:rPr>
          <w:rFonts w:asciiTheme="majorBidi" w:hAnsiTheme="majorBidi" w:cstheme="majorBidi"/>
          <w:b/>
          <w:bCs/>
          <w:sz w:val="24"/>
          <w:szCs w:val="24"/>
        </w:rPr>
      </w:pPr>
      <w:r w:rsidRPr="00A15991">
        <w:rPr>
          <w:rFonts w:asciiTheme="majorBidi" w:hAnsiTheme="majorBidi" w:cstheme="majorBidi"/>
          <w:b/>
          <w:bCs/>
          <w:sz w:val="24"/>
          <w:szCs w:val="24"/>
        </w:rPr>
        <w:t>Indice d’iode (Ii)</w:t>
      </w:r>
    </w:p>
    <w:p w:rsidR="0065148F" w:rsidRPr="00A15991"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L’indice d’iode mesure le degré d’insaturation d’une matière grasse. Il est défini</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comme étant le nombre de grammes d’iode fixés par 100g de lipide.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Plusieurs méthodes normalisées ont été développées pour la détermination de</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 xml:space="preserve">l’indice d’iode, les méthodes </w:t>
      </w:r>
      <w:proofErr w:type="spellStart"/>
      <w:r w:rsidRPr="00A15991">
        <w:rPr>
          <w:rFonts w:asciiTheme="majorBidi" w:hAnsiTheme="majorBidi" w:cstheme="majorBidi"/>
          <w:sz w:val="24"/>
          <w:szCs w:val="24"/>
        </w:rPr>
        <w:t>Wijs</w:t>
      </w:r>
      <w:proofErr w:type="spellEnd"/>
      <w:r w:rsidRPr="00A15991">
        <w:rPr>
          <w:rFonts w:asciiTheme="majorBidi" w:hAnsiTheme="majorBidi" w:cstheme="majorBidi"/>
          <w:sz w:val="24"/>
          <w:szCs w:val="24"/>
        </w:rPr>
        <w:t xml:space="preserve"> et </w:t>
      </w:r>
      <w:proofErr w:type="spellStart"/>
      <w:r w:rsidRPr="00A15991">
        <w:rPr>
          <w:rFonts w:asciiTheme="majorBidi" w:hAnsiTheme="majorBidi" w:cstheme="majorBidi"/>
          <w:sz w:val="24"/>
          <w:szCs w:val="24"/>
        </w:rPr>
        <w:t>Hanus</w:t>
      </w:r>
      <w:proofErr w:type="spellEnd"/>
      <w:r w:rsidRPr="00A15991">
        <w:rPr>
          <w:rFonts w:asciiTheme="majorBidi" w:hAnsiTheme="majorBidi" w:cstheme="majorBidi"/>
          <w:sz w:val="24"/>
          <w:szCs w:val="24"/>
        </w:rPr>
        <w:t xml:space="preserve"> étant les plus utilisées. Dans la méthode de</w:t>
      </w:r>
      <w:r w:rsidR="00A565E5" w:rsidRPr="00A15991">
        <w:rPr>
          <w:rFonts w:asciiTheme="majorBidi" w:hAnsiTheme="majorBidi" w:cstheme="majorBidi"/>
          <w:sz w:val="24"/>
          <w:szCs w:val="24"/>
        </w:rPr>
        <w:t xml:space="preserve"> </w:t>
      </w:r>
      <w:proofErr w:type="spellStart"/>
      <w:r w:rsidRPr="00A15991">
        <w:rPr>
          <w:rFonts w:asciiTheme="majorBidi" w:hAnsiTheme="majorBidi" w:cstheme="majorBidi"/>
          <w:sz w:val="24"/>
          <w:szCs w:val="24"/>
        </w:rPr>
        <w:t>Wijs</w:t>
      </w:r>
      <w:proofErr w:type="spellEnd"/>
      <w:r w:rsidRPr="00A15991">
        <w:rPr>
          <w:rFonts w:asciiTheme="majorBidi" w:hAnsiTheme="majorBidi" w:cstheme="majorBidi"/>
          <w:sz w:val="24"/>
          <w:szCs w:val="24"/>
        </w:rPr>
        <w:t xml:space="preserve">, le </w:t>
      </w:r>
      <w:proofErr w:type="spellStart"/>
      <w:r w:rsidRPr="00A15991">
        <w:rPr>
          <w:rFonts w:asciiTheme="majorBidi" w:hAnsiTheme="majorBidi" w:cstheme="majorBidi"/>
          <w:sz w:val="24"/>
          <w:szCs w:val="24"/>
        </w:rPr>
        <w:t>monochlorure</w:t>
      </w:r>
      <w:proofErr w:type="spellEnd"/>
      <w:r w:rsidRPr="00A15991">
        <w:rPr>
          <w:rFonts w:asciiTheme="majorBidi" w:hAnsiTheme="majorBidi" w:cstheme="majorBidi"/>
          <w:sz w:val="24"/>
          <w:szCs w:val="24"/>
        </w:rPr>
        <w:t xml:space="preserve"> d’iode (</w:t>
      </w:r>
      <w:proofErr w:type="spellStart"/>
      <w:r w:rsidRPr="00A15991">
        <w:rPr>
          <w:rFonts w:asciiTheme="majorBidi" w:hAnsiTheme="majorBidi" w:cstheme="majorBidi"/>
          <w:sz w:val="24"/>
          <w:szCs w:val="24"/>
        </w:rPr>
        <w:t>ICl</w:t>
      </w:r>
      <w:proofErr w:type="spellEnd"/>
      <w:r w:rsidRPr="00A15991">
        <w:rPr>
          <w:rFonts w:asciiTheme="majorBidi" w:hAnsiTheme="majorBidi" w:cstheme="majorBidi"/>
          <w:sz w:val="24"/>
          <w:szCs w:val="24"/>
        </w:rPr>
        <w:t>) est utilisé comme agent d'halogénation, alors que dans</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le procédé d’</w:t>
      </w:r>
      <w:proofErr w:type="spellStart"/>
      <w:r w:rsidRPr="00A15991">
        <w:rPr>
          <w:rFonts w:asciiTheme="majorBidi" w:hAnsiTheme="majorBidi" w:cstheme="majorBidi"/>
          <w:sz w:val="24"/>
          <w:szCs w:val="24"/>
        </w:rPr>
        <w:t>Hanus</w:t>
      </w:r>
      <w:proofErr w:type="spellEnd"/>
      <w:r w:rsidRPr="00A15991">
        <w:rPr>
          <w:rFonts w:asciiTheme="majorBidi" w:hAnsiTheme="majorBidi" w:cstheme="majorBidi"/>
          <w:sz w:val="24"/>
          <w:szCs w:val="24"/>
        </w:rPr>
        <w:t xml:space="preserve">, le </w:t>
      </w:r>
      <w:proofErr w:type="spellStart"/>
      <w:r w:rsidRPr="00A15991">
        <w:rPr>
          <w:rFonts w:asciiTheme="majorBidi" w:hAnsiTheme="majorBidi" w:cstheme="majorBidi"/>
          <w:sz w:val="24"/>
          <w:szCs w:val="24"/>
        </w:rPr>
        <w:t>monobromure</w:t>
      </w:r>
      <w:proofErr w:type="spellEnd"/>
      <w:r w:rsidRPr="00A15991">
        <w:rPr>
          <w:rFonts w:asciiTheme="majorBidi" w:hAnsiTheme="majorBidi" w:cstheme="majorBidi"/>
          <w:sz w:val="24"/>
          <w:szCs w:val="24"/>
        </w:rPr>
        <w:t xml:space="preserve"> d'iode (</w:t>
      </w:r>
      <w:proofErr w:type="spellStart"/>
      <w:r w:rsidRPr="00A15991">
        <w:rPr>
          <w:rFonts w:asciiTheme="majorBidi" w:hAnsiTheme="majorBidi" w:cstheme="majorBidi"/>
          <w:sz w:val="24"/>
          <w:szCs w:val="24"/>
        </w:rPr>
        <w:t>IBr</w:t>
      </w:r>
      <w:proofErr w:type="spellEnd"/>
      <w:r w:rsidRPr="00A15991">
        <w:rPr>
          <w:rFonts w:asciiTheme="majorBidi" w:hAnsiTheme="majorBidi" w:cstheme="majorBidi"/>
          <w:sz w:val="24"/>
          <w:szCs w:val="24"/>
        </w:rPr>
        <w:t>) est l'agent d'halogénation.</w:t>
      </w:r>
    </w:p>
    <w:p w:rsidR="0065148F" w:rsidRPr="00A15991" w:rsidRDefault="0065148F" w:rsidP="00A565E5">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L’indice d’iode est utilisé pour caractériser une matière grasse (degré</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d’insaturation), suivre le processus d’hydrogénation et mesurer le degré d’oxydation des</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lipides, car au cours de l’oxydation les insaturations diminuent.</w:t>
      </w:r>
    </w:p>
    <w:p w:rsidR="0065148F" w:rsidRPr="00A15991" w:rsidRDefault="0065148F" w:rsidP="00A565E5">
      <w:pPr>
        <w:autoSpaceDE w:val="0"/>
        <w:autoSpaceDN w:val="0"/>
        <w:adjustRightInd w:val="0"/>
        <w:spacing w:after="0"/>
        <w:jc w:val="both"/>
        <w:rPr>
          <w:rFonts w:asciiTheme="majorBidi" w:hAnsiTheme="majorBidi" w:cstheme="majorBidi"/>
          <w:sz w:val="24"/>
          <w:szCs w:val="24"/>
          <w:u w:val="single"/>
        </w:rPr>
      </w:pPr>
      <w:r w:rsidRPr="00A15991">
        <w:rPr>
          <w:rFonts w:asciiTheme="majorBidi" w:hAnsiTheme="majorBidi" w:cstheme="majorBidi"/>
          <w:sz w:val="24"/>
          <w:szCs w:val="24"/>
          <w:u w:val="single"/>
        </w:rPr>
        <w:t>Principe</w:t>
      </w:r>
    </w:p>
    <w:p w:rsidR="00981E64" w:rsidRPr="00A15991" w:rsidRDefault="0065148F" w:rsidP="00A15991">
      <w:pPr>
        <w:autoSpaceDE w:val="0"/>
        <w:autoSpaceDN w:val="0"/>
        <w:adjustRightInd w:val="0"/>
        <w:spacing w:after="0"/>
        <w:jc w:val="both"/>
        <w:rPr>
          <w:rFonts w:asciiTheme="majorBidi" w:hAnsiTheme="majorBidi" w:cstheme="majorBidi"/>
          <w:color w:val="000000"/>
          <w:sz w:val="24"/>
          <w:szCs w:val="24"/>
        </w:rPr>
      </w:pPr>
      <w:r w:rsidRPr="00A15991">
        <w:rPr>
          <w:rFonts w:asciiTheme="majorBidi" w:hAnsiTheme="majorBidi" w:cstheme="majorBidi"/>
          <w:sz w:val="24"/>
          <w:szCs w:val="24"/>
        </w:rPr>
        <w:t>L’échantillon est dissout dans le tétrachlorure de carbone (CCl</w:t>
      </w:r>
      <w:r w:rsidRPr="00A15991">
        <w:rPr>
          <w:rFonts w:asciiTheme="majorBidi" w:hAnsiTheme="majorBidi" w:cstheme="majorBidi"/>
          <w:sz w:val="24"/>
          <w:szCs w:val="24"/>
          <w:vertAlign w:val="subscript"/>
        </w:rPr>
        <w:t>4</w:t>
      </w:r>
      <w:r w:rsidRPr="00A15991">
        <w:rPr>
          <w:rFonts w:asciiTheme="majorBidi" w:hAnsiTheme="majorBidi" w:cstheme="majorBidi"/>
          <w:sz w:val="24"/>
          <w:szCs w:val="24"/>
        </w:rPr>
        <w:t>), le chloroforme ou</w:t>
      </w:r>
      <w:r w:rsidR="00A565E5" w:rsidRPr="00A15991">
        <w:rPr>
          <w:rFonts w:asciiTheme="majorBidi" w:hAnsiTheme="majorBidi" w:cstheme="majorBidi"/>
          <w:sz w:val="24"/>
          <w:szCs w:val="24"/>
        </w:rPr>
        <w:t xml:space="preserve"> </w:t>
      </w:r>
      <w:r w:rsidRPr="00A15991">
        <w:rPr>
          <w:rFonts w:asciiTheme="majorBidi" w:hAnsiTheme="majorBidi" w:cstheme="majorBidi"/>
          <w:sz w:val="24"/>
          <w:szCs w:val="24"/>
        </w:rPr>
        <w:t xml:space="preserve">le cyclohexane (moins toxique), la solution de </w:t>
      </w:r>
      <w:proofErr w:type="spellStart"/>
      <w:r w:rsidRPr="00A15991">
        <w:rPr>
          <w:rFonts w:asciiTheme="majorBidi" w:hAnsiTheme="majorBidi" w:cstheme="majorBidi"/>
          <w:sz w:val="24"/>
          <w:szCs w:val="24"/>
        </w:rPr>
        <w:t>monochlorure</w:t>
      </w:r>
      <w:proofErr w:type="spellEnd"/>
      <w:r w:rsidRPr="00A15991">
        <w:rPr>
          <w:rFonts w:asciiTheme="majorBidi" w:hAnsiTheme="majorBidi" w:cstheme="majorBidi"/>
          <w:sz w:val="24"/>
          <w:szCs w:val="24"/>
        </w:rPr>
        <w:t xml:space="preserve"> d’iode (</w:t>
      </w:r>
      <w:proofErr w:type="spellStart"/>
      <w:r w:rsidRPr="00A15991">
        <w:rPr>
          <w:rFonts w:asciiTheme="majorBidi" w:hAnsiTheme="majorBidi" w:cstheme="majorBidi"/>
          <w:sz w:val="24"/>
          <w:szCs w:val="24"/>
        </w:rPr>
        <w:t>ICl</w:t>
      </w:r>
      <w:proofErr w:type="spellEnd"/>
      <w:r w:rsidRPr="00A15991">
        <w:rPr>
          <w:rFonts w:asciiTheme="majorBidi" w:hAnsiTheme="majorBidi" w:cstheme="majorBidi"/>
          <w:sz w:val="24"/>
          <w:szCs w:val="24"/>
        </w:rPr>
        <w:t xml:space="preserve">) ou de </w:t>
      </w:r>
      <w:proofErr w:type="spellStart"/>
      <w:r w:rsidRPr="00A15991">
        <w:rPr>
          <w:rFonts w:asciiTheme="majorBidi" w:hAnsiTheme="majorBidi" w:cstheme="majorBidi"/>
          <w:sz w:val="24"/>
          <w:szCs w:val="24"/>
        </w:rPr>
        <w:t>monobromure</w:t>
      </w:r>
      <w:proofErr w:type="spellEnd"/>
      <w:r w:rsidR="006E5F0F" w:rsidRPr="00A15991">
        <w:rPr>
          <w:rFonts w:asciiTheme="majorBidi" w:hAnsiTheme="majorBidi" w:cstheme="majorBidi"/>
          <w:sz w:val="24"/>
          <w:szCs w:val="24"/>
        </w:rPr>
        <w:t xml:space="preserve"> </w:t>
      </w:r>
      <w:r w:rsidRPr="00A15991">
        <w:rPr>
          <w:rFonts w:asciiTheme="majorBidi" w:hAnsiTheme="majorBidi" w:cstheme="majorBidi"/>
          <w:sz w:val="24"/>
          <w:szCs w:val="24"/>
        </w:rPr>
        <w:t>d’iode (</w:t>
      </w:r>
      <w:proofErr w:type="spellStart"/>
      <w:r w:rsidRPr="00A15991">
        <w:rPr>
          <w:rFonts w:asciiTheme="majorBidi" w:hAnsiTheme="majorBidi" w:cstheme="majorBidi"/>
          <w:sz w:val="24"/>
          <w:szCs w:val="24"/>
        </w:rPr>
        <w:t>IBr</w:t>
      </w:r>
      <w:proofErr w:type="spellEnd"/>
      <w:r w:rsidRPr="00A15991">
        <w:rPr>
          <w:rFonts w:asciiTheme="majorBidi" w:hAnsiTheme="majorBidi" w:cstheme="majorBidi"/>
          <w:sz w:val="24"/>
          <w:szCs w:val="24"/>
        </w:rPr>
        <w:t>) est ajoutée en excès. L’halogène se fixe sur les doubles liaisons</w:t>
      </w:r>
      <w:r w:rsidR="006E5F0F" w:rsidRPr="00A15991">
        <w:rPr>
          <w:rFonts w:asciiTheme="majorBidi" w:hAnsiTheme="majorBidi" w:cstheme="majorBidi"/>
          <w:sz w:val="24"/>
          <w:szCs w:val="24"/>
        </w:rPr>
        <w:t xml:space="preserve"> </w:t>
      </w:r>
      <w:r w:rsidRPr="00A15991">
        <w:rPr>
          <w:rFonts w:asciiTheme="majorBidi" w:hAnsiTheme="majorBidi" w:cstheme="majorBidi"/>
          <w:sz w:val="24"/>
          <w:szCs w:val="24"/>
        </w:rPr>
        <w:t>(Réaction 1). La solution d’iodure de potassium est ajoutée pour réduire l’</w:t>
      </w:r>
      <w:proofErr w:type="spellStart"/>
      <w:r w:rsidRPr="00A15991">
        <w:rPr>
          <w:rFonts w:asciiTheme="majorBidi" w:hAnsiTheme="majorBidi" w:cstheme="majorBidi"/>
          <w:sz w:val="24"/>
          <w:szCs w:val="24"/>
        </w:rPr>
        <w:t>ICl</w:t>
      </w:r>
      <w:proofErr w:type="spellEnd"/>
      <w:r w:rsidRPr="00A15991">
        <w:rPr>
          <w:rFonts w:asciiTheme="majorBidi" w:hAnsiTheme="majorBidi" w:cstheme="majorBidi"/>
          <w:sz w:val="24"/>
          <w:szCs w:val="24"/>
        </w:rPr>
        <w:t xml:space="preserve"> non fixé</w:t>
      </w:r>
      <w:r w:rsidR="006E5F0F" w:rsidRPr="00A15991">
        <w:rPr>
          <w:rFonts w:asciiTheme="majorBidi" w:hAnsiTheme="majorBidi" w:cstheme="majorBidi"/>
          <w:sz w:val="24"/>
          <w:szCs w:val="24"/>
        </w:rPr>
        <w:t xml:space="preserve"> </w:t>
      </w:r>
      <w:r w:rsidRPr="00A15991">
        <w:rPr>
          <w:rFonts w:asciiTheme="majorBidi" w:hAnsiTheme="majorBidi" w:cstheme="majorBidi"/>
          <w:sz w:val="24"/>
          <w:szCs w:val="24"/>
        </w:rPr>
        <w:t>(Réaction 2). L’iode (I</w:t>
      </w:r>
      <w:r w:rsidRPr="00A15991">
        <w:rPr>
          <w:rFonts w:asciiTheme="majorBidi" w:hAnsiTheme="majorBidi" w:cstheme="majorBidi"/>
          <w:sz w:val="24"/>
          <w:szCs w:val="24"/>
          <w:vertAlign w:val="subscript"/>
        </w:rPr>
        <w:t>2</w:t>
      </w:r>
      <w:r w:rsidRPr="00A15991">
        <w:rPr>
          <w:rFonts w:asciiTheme="majorBidi" w:hAnsiTheme="majorBidi" w:cstheme="majorBidi"/>
          <w:sz w:val="24"/>
          <w:szCs w:val="24"/>
        </w:rPr>
        <w:t>) libéré est titré avec une solution de thiosulfate de sodium</w:t>
      </w:r>
      <w:r w:rsidR="006E5F0F" w:rsidRPr="00A15991">
        <w:rPr>
          <w:rFonts w:asciiTheme="majorBidi" w:hAnsiTheme="majorBidi" w:cstheme="majorBidi"/>
          <w:sz w:val="24"/>
          <w:szCs w:val="24"/>
        </w:rPr>
        <w:t xml:space="preserve"> </w:t>
      </w:r>
      <w:r w:rsidRPr="00A15991">
        <w:rPr>
          <w:rFonts w:asciiTheme="majorBidi" w:hAnsiTheme="majorBidi" w:cstheme="majorBidi"/>
          <w:sz w:val="24"/>
          <w:szCs w:val="24"/>
        </w:rPr>
        <w:t>(Réaction 3) jusqu’à décoloration de la couleur due à l’iode (I</w:t>
      </w:r>
      <w:r w:rsidRPr="00A15991">
        <w:rPr>
          <w:rFonts w:asciiTheme="majorBidi" w:hAnsiTheme="majorBidi" w:cstheme="majorBidi"/>
          <w:sz w:val="24"/>
          <w:szCs w:val="24"/>
          <w:vertAlign w:val="subscript"/>
        </w:rPr>
        <w:t>2</w:t>
      </w:r>
      <w:r w:rsidRPr="00A15991">
        <w:rPr>
          <w:rFonts w:asciiTheme="majorBidi" w:hAnsiTheme="majorBidi" w:cstheme="majorBidi"/>
          <w:sz w:val="24"/>
          <w:szCs w:val="24"/>
        </w:rPr>
        <w:t>). Une solution d'amidon</w:t>
      </w:r>
      <w:r w:rsidR="006E5F0F" w:rsidRPr="00A15991">
        <w:rPr>
          <w:rFonts w:asciiTheme="majorBidi" w:hAnsiTheme="majorBidi" w:cstheme="majorBidi"/>
          <w:sz w:val="24"/>
          <w:szCs w:val="24"/>
        </w:rPr>
        <w:t xml:space="preserve"> </w:t>
      </w:r>
      <w:r w:rsidRPr="00A15991">
        <w:rPr>
          <w:rFonts w:asciiTheme="majorBidi" w:hAnsiTheme="majorBidi" w:cstheme="majorBidi"/>
          <w:sz w:val="24"/>
          <w:szCs w:val="24"/>
        </w:rPr>
        <w:t>est ajoutée pour avoir une couleur bleu.</w:t>
      </w:r>
      <w:r w:rsidR="00981E64" w:rsidRPr="00A15991">
        <w:rPr>
          <w:rFonts w:asciiTheme="majorBidi" w:hAnsiTheme="majorBidi" w:cstheme="majorBidi"/>
          <w:sz w:val="24"/>
          <w:szCs w:val="24"/>
        </w:rPr>
        <w:t xml:space="preserve">            </w:t>
      </w:r>
    </w:p>
    <w:p w:rsidR="009469FC" w:rsidRPr="00A15991" w:rsidRDefault="009469FC" w:rsidP="00A565E5">
      <w:pPr>
        <w:jc w:val="both"/>
        <w:rPr>
          <w:rFonts w:asciiTheme="majorBidi" w:hAnsiTheme="majorBidi" w:cstheme="majorBidi"/>
          <w:color w:val="000000"/>
          <w:sz w:val="24"/>
          <w:szCs w:val="24"/>
        </w:rPr>
      </w:pPr>
    </w:p>
    <w:p w:rsidR="004A1CD7" w:rsidRDefault="00A15991" w:rsidP="00A15991">
      <w:pPr>
        <w:autoSpaceDE w:val="0"/>
        <w:autoSpaceDN w:val="0"/>
        <w:adjustRightInd w:val="0"/>
        <w:spacing w:after="0" w:line="240" w:lineRule="auto"/>
        <w:rPr>
          <w:rFonts w:ascii="TimesNewRomanPS-BoldMT" w:hAnsi="TimesNewRomanPS-BoldMT" w:cs="TimesNewRomanPS-BoldMT"/>
          <w:b/>
          <w:bCs/>
          <w:sz w:val="24"/>
          <w:szCs w:val="24"/>
        </w:rPr>
      </w:pPr>
      <w:r w:rsidRPr="00A15991">
        <w:rPr>
          <w:rFonts w:asciiTheme="majorBidi" w:hAnsiTheme="majorBidi" w:cstheme="majorBidi"/>
          <w:noProof/>
          <w:color w:val="000000"/>
          <w:sz w:val="24"/>
          <w:szCs w:val="24"/>
        </w:rPr>
        <w:drawing>
          <wp:anchor distT="0" distB="0" distL="114300" distR="114300" simplePos="0" relativeHeight="251659264" behindDoc="0" locked="0" layoutInCell="1" allowOverlap="1">
            <wp:simplePos x="0" y="0"/>
            <wp:positionH relativeFrom="column">
              <wp:posOffset>899795</wp:posOffset>
            </wp:positionH>
            <wp:positionV relativeFrom="paragraph">
              <wp:align>top</wp:align>
            </wp:positionV>
            <wp:extent cx="4768610" cy="1345721"/>
            <wp:effectExtent l="19050" t="0" r="0"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768610" cy="1345721"/>
                    </a:xfrm>
                    <a:prstGeom prst="rect">
                      <a:avLst/>
                    </a:prstGeom>
                    <a:noFill/>
                    <a:ln w="9525">
                      <a:noFill/>
                      <a:miter lim="800000"/>
                      <a:headEnd/>
                      <a:tailEnd/>
                    </a:ln>
                  </pic:spPr>
                </pic:pic>
              </a:graphicData>
            </a:graphic>
          </wp:anchor>
        </w:drawing>
      </w:r>
      <w:r w:rsidRPr="00A15991">
        <w:rPr>
          <w:rFonts w:asciiTheme="majorBidi" w:hAnsiTheme="majorBidi" w:cstheme="majorBidi"/>
          <w:color w:val="000000"/>
          <w:sz w:val="24"/>
          <w:szCs w:val="24"/>
        </w:rPr>
        <w:br w:type="textWrapping" w:clear="all"/>
      </w:r>
    </w:p>
    <w:p w:rsidR="009469FC" w:rsidRPr="00A15991" w:rsidRDefault="00A15991" w:rsidP="00A15991">
      <w:pPr>
        <w:autoSpaceDE w:val="0"/>
        <w:autoSpaceDN w:val="0"/>
        <w:adjustRightInd w:val="0"/>
        <w:spacing w:after="0" w:line="240" w:lineRule="auto"/>
        <w:rPr>
          <w:rFonts w:ascii="TimesNewRomanPSMT" w:hAnsi="TimesNewRomanPSMT" w:cs="TimesNewRomanPSMT"/>
          <w:sz w:val="24"/>
          <w:szCs w:val="24"/>
        </w:rPr>
      </w:pPr>
      <w:proofErr w:type="spellStart"/>
      <w:r w:rsidRPr="00A15991">
        <w:rPr>
          <w:rFonts w:ascii="TimesNewRomanPS-BoldMT" w:hAnsi="TimesNewRomanPS-BoldMT" w:cs="TimesNewRomanPS-BoldMT"/>
          <w:b/>
          <w:bCs/>
          <w:sz w:val="24"/>
          <w:szCs w:val="24"/>
        </w:rPr>
        <w:t>ICl</w:t>
      </w:r>
      <w:proofErr w:type="spellEnd"/>
      <w:r w:rsidRPr="00A15991">
        <w:rPr>
          <w:rFonts w:ascii="TimesNewRomanPS-BoldMT" w:hAnsi="TimesNewRomanPS-BoldMT" w:cs="TimesNewRomanPS-BoldMT"/>
          <w:b/>
          <w:bCs/>
          <w:sz w:val="24"/>
          <w:szCs w:val="24"/>
        </w:rPr>
        <w:t xml:space="preserve"> </w:t>
      </w:r>
      <w:proofErr w:type="gramStart"/>
      <w:r w:rsidRPr="00A15991">
        <w:rPr>
          <w:rFonts w:ascii="TimesNewRomanPS-BoldMT" w:hAnsi="TimesNewRomanPS-BoldMT" w:cs="TimesNewRomanPS-BoldMT"/>
          <w:b/>
          <w:bCs/>
          <w:sz w:val="24"/>
          <w:szCs w:val="24"/>
        </w:rPr>
        <w:t>:</w:t>
      </w:r>
      <w:proofErr w:type="spellStart"/>
      <w:r w:rsidRPr="00A15991">
        <w:rPr>
          <w:rFonts w:ascii="TimesNewRomanPSMT" w:hAnsi="TimesNewRomanPSMT" w:cs="TimesNewRomanPSMT"/>
          <w:sz w:val="24"/>
          <w:szCs w:val="24"/>
        </w:rPr>
        <w:t>Monochlorure</w:t>
      </w:r>
      <w:proofErr w:type="spellEnd"/>
      <w:proofErr w:type="gramEnd"/>
      <w:r w:rsidRPr="00A15991">
        <w:rPr>
          <w:rFonts w:ascii="TimesNewRomanPSMT" w:hAnsi="TimesNewRomanPSMT" w:cs="TimesNewRomanPSMT"/>
          <w:sz w:val="24"/>
          <w:szCs w:val="24"/>
        </w:rPr>
        <w:t xml:space="preserve"> d’iode; </w:t>
      </w:r>
      <w:r w:rsidRPr="00A15991">
        <w:rPr>
          <w:rFonts w:ascii="TimesNewRomanPS-BoldMT" w:hAnsi="TimesNewRomanPS-BoldMT" w:cs="TimesNewRomanPS-BoldMT"/>
          <w:b/>
          <w:bCs/>
          <w:sz w:val="24"/>
          <w:szCs w:val="24"/>
        </w:rPr>
        <w:t xml:space="preserve">KI : </w:t>
      </w:r>
      <w:r w:rsidRPr="00A15991">
        <w:rPr>
          <w:rFonts w:ascii="TimesNewRomanPSMT" w:hAnsi="TimesNewRomanPSMT" w:cs="TimesNewRomanPSMT"/>
          <w:sz w:val="24"/>
          <w:szCs w:val="24"/>
        </w:rPr>
        <w:t xml:space="preserve">Iodure de potassium; </w:t>
      </w:r>
      <w:proofErr w:type="spellStart"/>
      <w:r w:rsidRPr="00A15991">
        <w:rPr>
          <w:rFonts w:ascii="TimesNewRomanPS-BoldMT" w:hAnsi="TimesNewRomanPS-BoldMT" w:cs="TimesNewRomanPS-BoldMT"/>
          <w:b/>
          <w:bCs/>
          <w:sz w:val="24"/>
          <w:szCs w:val="24"/>
        </w:rPr>
        <w:t>KCl</w:t>
      </w:r>
      <w:proofErr w:type="spellEnd"/>
      <w:r w:rsidRPr="00A15991">
        <w:rPr>
          <w:rFonts w:ascii="TimesNewRomanPS-BoldMT" w:hAnsi="TimesNewRomanPS-BoldMT" w:cs="TimesNewRomanPS-BoldMT"/>
          <w:b/>
          <w:bCs/>
          <w:sz w:val="24"/>
          <w:szCs w:val="24"/>
        </w:rPr>
        <w:t xml:space="preserve"> : </w:t>
      </w:r>
      <w:r w:rsidRPr="00A15991">
        <w:rPr>
          <w:rFonts w:ascii="TimesNewRomanPSMT" w:hAnsi="TimesNewRomanPSMT" w:cs="TimesNewRomanPSMT"/>
          <w:sz w:val="24"/>
          <w:szCs w:val="24"/>
        </w:rPr>
        <w:t xml:space="preserve">Chlorure de potassium; </w:t>
      </w:r>
      <w:r w:rsidRPr="00A15991">
        <w:rPr>
          <w:rFonts w:ascii="TimesNewRomanPS-BoldMT" w:hAnsi="TimesNewRomanPS-BoldMT" w:cs="TimesNewRomanPS-BoldMT"/>
          <w:b/>
          <w:bCs/>
          <w:sz w:val="24"/>
          <w:szCs w:val="24"/>
        </w:rPr>
        <w:t>Na</w:t>
      </w:r>
      <w:r w:rsidRPr="00A15991">
        <w:rPr>
          <w:rFonts w:ascii="TimesNewRomanPS-BoldMT" w:hAnsi="TimesNewRomanPS-BoldMT" w:cs="TimesNewRomanPS-BoldMT"/>
          <w:b/>
          <w:bCs/>
          <w:sz w:val="24"/>
          <w:szCs w:val="24"/>
          <w:vertAlign w:val="subscript"/>
        </w:rPr>
        <w:t>2</w:t>
      </w:r>
      <w:r w:rsidRPr="00A15991">
        <w:rPr>
          <w:rFonts w:ascii="TimesNewRomanPS-BoldMT" w:hAnsi="TimesNewRomanPS-BoldMT" w:cs="TimesNewRomanPS-BoldMT"/>
          <w:b/>
          <w:bCs/>
          <w:sz w:val="24"/>
          <w:szCs w:val="24"/>
        </w:rPr>
        <w:t>S</w:t>
      </w:r>
      <w:r w:rsidRPr="00A15991">
        <w:rPr>
          <w:rFonts w:ascii="TimesNewRomanPS-BoldMT" w:hAnsi="TimesNewRomanPS-BoldMT" w:cs="TimesNewRomanPS-BoldMT"/>
          <w:b/>
          <w:bCs/>
          <w:sz w:val="24"/>
          <w:szCs w:val="24"/>
          <w:vertAlign w:val="subscript"/>
        </w:rPr>
        <w:t>4</w:t>
      </w:r>
      <w:r w:rsidRPr="00A15991">
        <w:rPr>
          <w:rFonts w:ascii="TimesNewRomanPS-BoldMT" w:hAnsi="TimesNewRomanPS-BoldMT" w:cs="TimesNewRomanPS-BoldMT"/>
          <w:b/>
          <w:bCs/>
          <w:sz w:val="24"/>
          <w:szCs w:val="24"/>
        </w:rPr>
        <w:t>O</w:t>
      </w:r>
      <w:r w:rsidRPr="00A15991">
        <w:rPr>
          <w:rFonts w:ascii="TimesNewRomanPS-BoldMT" w:hAnsi="TimesNewRomanPS-BoldMT" w:cs="TimesNewRomanPS-BoldMT"/>
          <w:b/>
          <w:bCs/>
          <w:sz w:val="24"/>
          <w:szCs w:val="24"/>
          <w:vertAlign w:val="subscript"/>
        </w:rPr>
        <w:t xml:space="preserve">6 </w:t>
      </w:r>
      <w:r w:rsidRPr="00A15991">
        <w:rPr>
          <w:rFonts w:ascii="TimesNewRomanPS-BoldMT" w:hAnsi="TimesNewRomanPS-BoldMT" w:cs="TimesNewRomanPS-BoldMT"/>
          <w:b/>
          <w:bCs/>
          <w:sz w:val="24"/>
          <w:szCs w:val="24"/>
        </w:rPr>
        <w:t xml:space="preserve">: </w:t>
      </w:r>
      <w:r w:rsidRPr="00A15991">
        <w:rPr>
          <w:rFonts w:ascii="TimesNewRomanPSMT" w:hAnsi="TimesNewRomanPSMT" w:cs="TimesNewRomanPSMT"/>
          <w:sz w:val="24"/>
          <w:szCs w:val="24"/>
        </w:rPr>
        <w:t xml:space="preserve">Sodium </w:t>
      </w:r>
      <w:proofErr w:type="spellStart"/>
      <w:r w:rsidRPr="00A15991">
        <w:rPr>
          <w:rFonts w:ascii="TimesNewRomanPSMT" w:hAnsi="TimesNewRomanPSMT" w:cs="TimesNewRomanPSMT"/>
          <w:sz w:val="24"/>
          <w:szCs w:val="24"/>
        </w:rPr>
        <w:t>tetrathionate</w:t>
      </w:r>
      <w:proofErr w:type="spellEnd"/>
      <w:r w:rsidRPr="00A15991">
        <w:rPr>
          <w:rFonts w:ascii="TimesNewRomanPSMT" w:hAnsi="TimesNewRomanPSMT" w:cs="TimesNewRomanPSMT"/>
          <w:sz w:val="24"/>
          <w:szCs w:val="24"/>
        </w:rPr>
        <w:t xml:space="preserve">; </w:t>
      </w:r>
      <w:r w:rsidRPr="00A15991">
        <w:rPr>
          <w:rFonts w:ascii="TimesNewRomanPS-BoldMT" w:hAnsi="TimesNewRomanPS-BoldMT" w:cs="TimesNewRomanPS-BoldMT"/>
          <w:b/>
          <w:bCs/>
          <w:sz w:val="24"/>
          <w:szCs w:val="24"/>
        </w:rPr>
        <w:t>Na</w:t>
      </w:r>
      <w:r w:rsidRPr="00A15991">
        <w:rPr>
          <w:rFonts w:ascii="TimesNewRomanPS-BoldMT" w:hAnsi="TimesNewRomanPS-BoldMT" w:cs="TimesNewRomanPS-BoldMT"/>
          <w:b/>
          <w:bCs/>
          <w:sz w:val="24"/>
          <w:szCs w:val="24"/>
          <w:vertAlign w:val="subscript"/>
        </w:rPr>
        <w:t>2</w:t>
      </w:r>
      <w:r w:rsidRPr="00A15991">
        <w:rPr>
          <w:rFonts w:ascii="TimesNewRomanPS-BoldMT" w:hAnsi="TimesNewRomanPS-BoldMT" w:cs="TimesNewRomanPS-BoldMT"/>
          <w:b/>
          <w:bCs/>
          <w:sz w:val="24"/>
          <w:szCs w:val="24"/>
        </w:rPr>
        <w:t>S</w:t>
      </w:r>
      <w:r w:rsidRPr="00A15991">
        <w:rPr>
          <w:rFonts w:ascii="TimesNewRomanPS-BoldMT" w:hAnsi="TimesNewRomanPS-BoldMT" w:cs="TimesNewRomanPS-BoldMT"/>
          <w:b/>
          <w:bCs/>
          <w:sz w:val="24"/>
          <w:szCs w:val="24"/>
          <w:vertAlign w:val="subscript"/>
        </w:rPr>
        <w:t>2</w:t>
      </w:r>
      <w:r w:rsidRPr="00A15991">
        <w:rPr>
          <w:rFonts w:ascii="TimesNewRomanPS-BoldMT" w:hAnsi="TimesNewRomanPS-BoldMT" w:cs="TimesNewRomanPS-BoldMT"/>
          <w:b/>
          <w:bCs/>
          <w:sz w:val="24"/>
          <w:szCs w:val="24"/>
        </w:rPr>
        <w:t>O</w:t>
      </w:r>
      <w:r w:rsidRPr="00A15991">
        <w:rPr>
          <w:rFonts w:ascii="TimesNewRomanPS-BoldMT" w:hAnsi="TimesNewRomanPS-BoldMT" w:cs="TimesNewRomanPS-BoldMT"/>
          <w:b/>
          <w:bCs/>
          <w:sz w:val="24"/>
          <w:szCs w:val="24"/>
          <w:vertAlign w:val="subscript"/>
        </w:rPr>
        <w:t>3</w:t>
      </w:r>
      <w:r w:rsidRPr="00A15991">
        <w:rPr>
          <w:rFonts w:ascii="TimesNewRomanPS-BoldMT" w:hAnsi="TimesNewRomanPS-BoldMT" w:cs="TimesNewRomanPS-BoldMT"/>
          <w:b/>
          <w:bCs/>
          <w:sz w:val="24"/>
          <w:szCs w:val="24"/>
        </w:rPr>
        <w:t xml:space="preserve">: </w:t>
      </w:r>
      <w:r w:rsidRPr="00A15991">
        <w:rPr>
          <w:rFonts w:ascii="TimesNewRomanPSMT" w:hAnsi="TimesNewRomanPSMT" w:cs="TimesNewRomanPSMT"/>
          <w:sz w:val="24"/>
          <w:szCs w:val="24"/>
        </w:rPr>
        <w:t xml:space="preserve">Thiosulfate de sodium; </w:t>
      </w:r>
      <w:proofErr w:type="spellStart"/>
      <w:r w:rsidRPr="00A15991">
        <w:rPr>
          <w:rFonts w:ascii="TimesNewRomanPS-BoldMT" w:hAnsi="TimesNewRomanPS-BoldMT" w:cs="TimesNewRomanPS-BoldMT"/>
          <w:b/>
          <w:bCs/>
          <w:sz w:val="24"/>
          <w:szCs w:val="24"/>
        </w:rPr>
        <w:t>NaI</w:t>
      </w:r>
      <w:proofErr w:type="spellEnd"/>
      <w:r w:rsidRPr="00A15991">
        <w:rPr>
          <w:rFonts w:ascii="TimesNewRomanPS-BoldMT" w:hAnsi="TimesNewRomanPS-BoldMT" w:cs="TimesNewRomanPS-BoldMT"/>
          <w:b/>
          <w:bCs/>
          <w:sz w:val="24"/>
          <w:szCs w:val="24"/>
        </w:rPr>
        <w:t xml:space="preserve"> : </w:t>
      </w:r>
      <w:r w:rsidRPr="00A15991">
        <w:rPr>
          <w:rFonts w:ascii="TimesNewRomanPSMT" w:hAnsi="TimesNewRomanPSMT" w:cs="TimesNewRomanPSMT"/>
          <w:sz w:val="24"/>
          <w:szCs w:val="24"/>
        </w:rPr>
        <w:t>Iodure de sodium.</w:t>
      </w:r>
    </w:p>
    <w:p w:rsidR="00A15991" w:rsidRPr="00A15991" w:rsidRDefault="00A15991" w:rsidP="00A15991">
      <w:pPr>
        <w:autoSpaceDE w:val="0"/>
        <w:autoSpaceDN w:val="0"/>
        <w:adjustRightInd w:val="0"/>
        <w:spacing w:after="0" w:line="240" w:lineRule="auto"/>
        <w:rPr>
          <w:rFonts w:ascii="TimesNewRomanPSMT" w:hAnsi="TimesNewRomanPSMT" w:cs="TimesNewRomanPSMT"/>
          <w:sz w:val="24"/>
          <w:szCs w:val="24"/>
        </w:rPr>
      </w:pPr>
    </w:p>
    <w:p w:rsidR="00A15991" w:rsidRPr="00A15991" w:rsidRDefault="00A15991" w:rsidP="00A15991">
      <w:pPr>
        <w:pStyle w:val="Paragraphedeliste"/>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A15991">
        <w:rPr>
          <w:rFonts w:ascii="TimesNewRomanPS-BoldMT" w:hAnsi="TimesNewRomanPS-BoldMT" w:cs="TimesNewRomanPS-BoldMT"/>
          <w:b/>
          <w:bCs/>
          <w:sz w:val="24"/>
          <w:szCs w:val="24"/>
        </w:rPr>
        <w:t>Indice de peroxyde (</w:t>
      </w:r>
      <w:proofErr w:type="spellStart"/>
      <w:r w:rsidRPr="00A15991">
        <w:rPr>
          <w:rFonts w:ascii="TimesNewRomanPS-BoldMT" w:hAnsi="TimesNewRomanPS-BoldMT" w:cs="TimesNewRomanPS-BoldMT"/>
          <w:b/>
          <w:bCs/>
          <w:sz w:val="24"/>
          <w:szCs w:val="24"/>
        </w:rPr>
        <w:t>Ip</w:t>
      </w:r>
      <w:proofErr w:type="spellEnd"/>
      <w:r w:rsidRPr="00A15991">
        <w:rPr>
          <w:rFonts w:ascii="TimesNewRomanPS-BoldMT" w:hAnsi="TimesNewRomanPS-BoldMT" w:cs="TimesNewRomanPS-BoldMT"/>
          <w:b/>
          <w:bCs/>
          <w:sz w:val="24"/>
          <w:szCs w:val="24"/>
        </w:rPr>
        <w:t>)</w:t>
      </w:r>
    </w:p>
    <w:p w:rsidR="00A15991" w:rsidRPr="00A15991" w:rsidRDefault="00A15991" w:rsidP="00A15991">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 xml:space="preserve">L’oxydation des lipides est la cause majeure de leur détérioration, et les produits formés par la réaction de l’oxygène avec les acides gras insaturés sont les premiers produits initiateurs de cette dégradation. </w:t>
      </w:r>
    </w:p>
    <w:p w:rsidR="00A15991" w:rsidRDefault="00A15991" w:rsidP="00A15991">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rPr>
        <w:t>L’indice de peroxyde est parmi les caractéristiques chimiques le plus utilisé pour la détermination de degré d’altération d’un corps gras. L’indice de peroxyde est le nombre de milliéquivalent gramme d’oxygène actif par kilogramme de corps gras (</w:t>
      </w:r>
      <w:proofErr w:type="spellStart"/>
      <w:r w:rsidRPr="00A15991">
        <w:rPr>
          <w:rFonts w:asciiTheme="majorBidi" w:hAnsiTheme="majorBidi" w:cstheme="majorBidi"/>
          <w:sz w:val="24"/>
          <w:szCs w:val="24"/>
        </w:rPr>
        <w:t>meq</w:t>
      </w:r>
      <w:proofErr w:type="spellEnd"/>
      <w:r w:rsidRPr="00A15991">
        <w:rPr>
          <w:rFonts w:asciiTheme="majorBidi" w:hAnsiTheme="majorBidi" w:cstheme="majorBidi"/>
          <w:sz w:val="24"/>
          <w:szCs w:val="24"/>
        </w:rPr>
        <w:t xml:space="preserve"> g d’O</w:t>
      </w:r>
      <w:r w:rsidRPr="00A15991">
        <w:rPr>
          <w:rFonts w:asciiTheme="majorBidi" w:hAnsiTheme="majorBidi" w:cstheme="majorBidi"/>
          <w:sz w:val="24"/>
          <w:szCs w:val="24"/>
          <w:vertAlign w:val="subscript"/>
        </w:rPr>
        <w:t>2</w:t>
      </w:r>
      <w:r w:rsidRPr="00A15991">
        <w:rPr>
          <w:rFonts w:asciiTheme="majorBidi" w:hAnsiTheme="majorBidi" w:cstheme="majorBidi"/>
          <w:sz w:val="24"/>
          <w:szCs w:val="24"/>
        </w:rPr>
        <w:t>/kg de lipide).</w:t>
      </w:r>
    </w:p>
    <w:p w:rsidR="00384187" w:rsidRDefault="00A15991" w:rsidP="00C87883">
      <w:pPr>
        <w:autoSpaceDE w:val="0"/>
        <w:autoSpaceDN w:val="0"/>
        <w:adjustRightInd w:val="0"/>
        <w:spacing w:after="0"/>
        <w:jc w:val="both"/>
        <w:rPr>
          <w:rFonts w:asciiTheme="majorBidi" w:hAnsiTheme="majorBidi" w:cstheme="majorBidi"/>
          <w:sz w:val="24"/>
          <w:szCs w:val="24"/>
        </w:rPr>
      </w:pPr>
      <w:r w:rsidRPr="00A15991">
        <w:rPr>
          <w:rFonts w:asciiTheme="majorBidi" w:hAnsiTheme="majorBidi" w:cstheme="majorBidi"/>
          <w:sz w:val="24"/>
          <w:szCs w:val="24"/>
          <w:u w:val="single"/>
        </w:rPr>
        <w:t>Principe</w:t>
      </w:r>
      <w:r w:rsidR="00826B8B">
        <w:rPr>
          <w:rFonts w:asciiTheme="majorBidi" w:hAnsiTheme="majorBidi" w:cstheme="majorBidi"/>
          <w:sz w:val="24"/>
          <w:szCs w:val="24"/>
          <w:u w:val="single"/>
        </w:rPr>
        <w:t xml:space="preserve"> : </w:t>
      </w:r>
      <w:r w:rsidRPr="00A15991">
        <w:rPr>
          <w:rFonts w:asciiTheme="majorBidi" w:hAnsiTheme="majorBidi" w:cstheme="majorBidi"/>
          <w:sz w:val="24"/>
          <w:szCs w:val="24"/>
        </w:rPr>
        <w:t>Le traitement d’un corps gras dans un milieu acide par la solution d’iodure de</w:t>
      </w:r>
      <w:r w:rsidR="003C7EA9">
        <w:rPr>
          <w:rFonts w:asciiTheme="majorBidi" w:hAnsiTheme="majorBidi" w:cstheme="majorBidi"/>
          <w:sz w:val="24"/>
          <w:szCs w:val="24"/>
        </w:rPr>
        <w:t xml:space="preserve"> </w:t>
      </w:r>
      <w:r w:rsidRPr="00A15991">
        <w:rPr>
          <w:rFonts w:asciiTheme="majorBidi" w:hAnsiTheme="majorBidi" w:cstheme="majorBidi"/>
          <w:sz w:val="24"/>
          <w:szCs w:val="24"/>
        </w:rPr>
        <w:t>potassium (KI) permet la libération d’iode (I</w:t>
      </w:r>
      <w:r w:rsidRPr="003C7EA9">
        <w:rPr>
          <w:rFonts w:asciiTheme="majorBidi" w:hAnsiTheme="majorBidi" w:cstheme="majorBidi"/>
          <w:sz w:val="24"/>
          <w:szCs w:val="24"/>
          <w:vertAlign w:val="subscript"/>
        </w:rPr>
        <w:t>2</w:t>
      </w:r>
      <w:r w:rsidRPr="00A15991">
        <w:rPr>
          <w:rFonts w:asciiTheme="majorBidi" w:hAnsiTheme="majorBidi" w:cstheme="majorBidi"/>
          <w:sz w:val="24"/>
          <w:szCs w:val="24"/>
        </w:rPr>
        <w:t>) après réaction avec les peroxydes (Réaction</w:t>
      </w:r>
      <w:r w:rsidR="003C7EA9">
        <w:rPr>
          <w:rFonts w:asciiTheme="majorBidi" w:hAnsiTheme="majorBidi" w:cstheme="majorBidi"/>
          <w:sz w:val="24"/>
          <w:szCs w:val="24"/>
        </w:rPr>
        <w:t xml:space="preserve"> </w:t>
      </w:r>
      <w:r w:rsidRPr="00A15991">
        <w:rPr>
          <w:rFonts w:asciiTheme="majorBidi" w:hAnsiTheme="majorBidi" w:cstheme="majorBidi"/>
          <w:sz w:val="24"/>
          <w:szCs w:val="24"/>
        </w:rPr>
        <w:t xml:space="preserve">3). </w:t>
      </w:r>
      <w:r w:rsidRPr="00A15991">
        <w:rPr>
          <w:rFonts w:asciiTheme="majorBidi" w:hAnsiTheme="majorBidi" w:cstheme="majorBidi"/>
          <w:sz w:val="24"/>
          <w:szCs w:val="24"/>
        </w:rPr>
        <w:lastRenderedPageBreak/>
        <w:t>L'iode formé est ensuite titré, habituellement avec une solution de thiosulfate de</w:t>
      </w:r>
      <w:r w:rsidR="003C7EA9">
        <w:rPr>
          <w:rFonts w:asciiTheme="majorBidi" w:hAnsiTheme="majorBidi" w:cstheme="majorBidi"/>
          <w:sz w:val="24"/>
          <w:szCs w:val="24"/>
        </w:rPr>
        <w:t xml:space="preserve"> </w:t>
      </w:r>
      <w:r w:rsidRPr="00A15991">
        <w:rPr>
          <w:rFonts w:asciiTheme="majorBidi" w:hAnsiTheme="majorBidi" w:cstheme="majorBidi"/>
          <w:sz w:val="24"/>
          <w:szCs w:val="24"/>
        </w:rPr>
        <w:t xml:space="preserve">sodium, qui est oxydé en un </w:t>
      </w:r>
      <w:proofErr w:type="spellStart"/>
      <w:r w:rsidRPr="00A15991">
        <w:rPr>
          <w:rFonts w:asciiTheme="majorBidi" w:hAnsiTheme="majorBidi" w:cstheme="majorBidi"/>
          <w:sz w:val="24"/>
          <w:szCs w:val="24"/>
        </w:rPr>
        <w:t>tétrathionate</w:t>
      </w:r>
      <w:proofErr w:type="spellEnd"/>
      <w:r w:rsidRPr="00A15991">
        <w:rPr>
          <w:rFonts w:asciiTheme="majorBidi" w:hAnsiTheme="majorBidi" w:cstheme="majorBidi"/>
          <w:sz w:val="24"/>
          <w:szCs w:val="24"/>
        </w:rPr>
        <w:t xml:space="preserve"> (Réaction 4). Une solution d'amidon est ajoutée comme un</w:t>
      </w:r>
      <w:r w:rsidR="003C7EA9">
        <w:rPr>
          <w:rFonts w:asciiTheme="majorBidi" w:hAnsiTheme="majorBidi" w:cstheme="majorBidi"/>
          <w:sz w:val="24"/>
          <w:szCs w:val="24"/>
        </w:rPr>
        <w:t xml:space="preserve"> </w:t>
      </w:r>
      <w:r w:rsidRPr="00A15991">
        <w:rPr>
          <w:rFonts w:asciiTheme="majorBidi" w:hAnsiTheme="majorBidi" w:cstheme="majorBidi"/>
          <w:sz w:val="24"/>
          <w:szCs w:val="24"/>
        </w:rPr>
        <w:t>indicateur coloré qui se combine avec l’iode pour former un produit bleu. A la fin du</w:t>
      </w:r>
      <w:r w:rsidR="003C7EA9">
        <w:rPr>
          <w:rFonts w:asciiTheme="majorBidi" w:hAnsiTheme="majorBidi" w:cstheme="majorBidi"/>
          <w:sz w:val="24"/>
          <w:szCs w:val="24"/>
        </w:rPr>
        <w:t xml:space="preserve"> </w:t>
      </w:r>
      <w:r w:rsidRPr="00A15991">
        <w:rPr>
          <w:rFonts w:asciiTheme="majorBidi" w:hAnsiTheme="majorBidi" w:cstheme="majorBidi"/>
          <w:sz w:val="24"/>
          <w:szCs w:val="24"/>
        </w:rPr>
        <w:t>dosage, le mélange réactionnel est décoloré.</w:t>
      </w:r>
    </w:p>
    <w:p w:rsidR="00384187" w:rsidRPr="00384187" w:rsidRDefault="00384187" w:rsidP="0038418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 xml:space="preserve">Réactions de formation d’un peroxyde et de sa transformation en </w:t>
      </w:r>
      <w:proofErr w:type="spellStart"/>
      <w:r w:rsidRPr="00384187">
        <w:rPr>
          <w:rFonts w:asciiTheme="majorBidi" w:hAnsiTheme="majorBidi" w:cstheme="majorBidi"/>
          <w:sz w:val="24"/>
          <w:szCs w:val="24"/>
        </w:rPr>
        <w:t>hydroperoxyde</w:t>
      </w:r>
      <w:proofErr w:type="spellEnd"/>
      <w:r w:rsidRPr="00384187">
        <w:rPr>
          <w:rFonts w:asciiTheme="majorBidi" w:hAnsiTheme="majorBidi" w:cstheme="majorBidi"/>
          <w:sz w:val="24"/>
          <w:szCs w:val="24"/>
        </w:rPr>
        <w:t xml:space="preserve"> :</w:t>
      </w:r>
    </w:p>
    <w:p w:rsidR="00384187" w:rsidRDefault="00384187" w:rsidP="0038418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 1</w:t>
      </w:r>
      <w:r>
        <w:rPr>
          <w:rFonts w:asciiTheme="majorBidi" w:hAnsiTheme="majorBidi" w:cstheme="majorBidi"/>
          <w:sz w:val="24"/>
          <w:szCs w:val="24"/>
        </w:rPr>
        <w:t xml:space="preserve"> :    </w:t>
      </w:r>
      <w:r w:rsidRPr="00384187">
        <w:rPr>
          <w:rFonts w:asciiTheme="majorBidi" w:hAnsiTheme="majorBidi" w:cstheme="majorBidi"/>
          <w:sz w:val="24"/>
          <w:szCs w:val="24"/>
        </w:rPr>
        <w:t xml:space="preserve">R + O2 → R-OO </w:t>
      </w:r>
    </w:p>
    <w:p w:rsidR="00384187" w:rsidRPr="00384187" w:rsidRDefault="00384187" w:rsidP="003015C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 2</w:t>
      </w:r>
      <w:r>
        <w:rPr>
          <w:rFonts w:asciiTheme="majorBidi" w:hAnsiTheme="majorBidi" w:cstheme="majorBidi"/>
          <w:sz w:val="24"/>
          <w:szCs w:val="24"/>
        </w:rPr>
        <w:t xml:space="preserve"> :    </w:t>
      </w:r>
      <w:r w:rsidRPr="00384187">
        <w:rPr>
          <w:rFonts w:asciiTheme="majorBidi" w:hAnsiTheme="majorBidi" w:cstheme="majorBidi"/>
          <w:sz w:val="24"/>
          <w:szCs w:val="24"/>
        </w:rPr>
        <w:t xml:space="preserve">R + H → R-OOH </w:t>
      </w:r>
    </w:p>
    <w:p w:rsidR="00384187" w:rsidRPr="00384187" w:rsidRDefault="00384187" w:rsidP="0038418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 d’iodure de potassium avec le peroxyde en milieu acide :</w:t>
      </w:r>
    </w:p>
    <w:p w:rsidR="00384187" w:rsidRDefault="00384187" w:rsidP="0038418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Réaction3</w:t>
      </w:r>
      <w:r>
        <w:rPr>
          <w:rFonts w:asciiTheme="majorBidi" w:hAnsiTheme="majorBidi" w:cstheme="majorBidi"/>
          <w:sz w:val="24"/>
          <w:szCs w:val="24"/>
        </w:rPr>
        <w:t xml:space="preserve"> : </w:t>
      </w:r>
      <w:r w:rsidRPr="00384187">
        <w:rPr>
          <w:rFonts w:asciiTheme="majorBidi" w:hAnsiTheme="majorBidi" w:cstheme="majorBidi"/>
          <w:sz w:val="24"/>
          <w:szCs w:val="24"/>
        </w:rPr>
        <w:t>R-OOH + 2KI + 2CH</w:t>
      </w:r>
      <w:r w:rsidRPr="00384187">
        <w:rPr>
          <w:rFonts w:asciiTheme="majorBidi" w:hAnsiTheme="majorBidi" w:cstheme="majorBidi"/>
          <w:sz w:val="24"/>
          <w:szCs w:val="24"/>
          <w:vertAlign w:val="subscript"/>
        </w:rPr>
        <w:t>3</w:t>
      </w:r>
      <w:r w:rsidRPr="00384187">
        <w:rPr>
          <w:rFonts w:asciiTheme="majorBidi" w:hAnsiTheme="majorBidi" w:cstheme="majorBidi"/>
          <w:sz w:val="24"/>
          <w:szCs w:val="24"/>
        </w:rPr>
        <w:t>-COOH→ R-OH + 2CH</w:t>
      </w:r>
      <w:r w:rsidRPr="00384187">
        <w:rPr>
          <w:rFonts w:asciiTheme="majorBidi" w:hAnsiTheme="majorBidi" w:cstheme="majorBidi"/>
          <w:sz w:val="24"/>
          <w:szCs w:val="24"/>
          <w:vertAlign w:val="subscript"/>
        </w:rPr>
        <w:t>3</w:t>
      </w:r>
      <w:r w:rsidRPr="00384187">
        <w:rPr>
          <w:rFonts w:asciiTheme="majorBidi" w:hAnsiTheme="majorBidi" w:cstheme="majorBidi"/>
          <w:sz w:val="24"/>
          <w:szCs w:val="24"/>
        </w:rPr>
        <w:t>-COOK+ H</w:t>
      </w:r>
      <w:r w:rsidRPr="00384187">
        <w:rPr>
          <w:rFonts w:asciiTheme="majorBidi" w:hAnsiTheme="majorBidi" w:cstheme="majorBidi"/>
          <w:sz w:val="24"/>
          <w:szCs w:val="24"/>
          <w:vertAlign w:val="subscript"/>
        </w:rPr>
        <w:t>2</w:t>
      </w:r>
      <w:r w:rsidRPr="00384187">
        <w:rPr>
          <w:rFonts w:asciiTheme="majorBidi" w:hAnsiTheme="majorBidi" w:cstheme="majorBidi"/>
          <w:sz w:val="24"/>
          <w:szCs w:val="24"/>
        </w:rPr>
        <w:t>O + I</w:t>
      </w:r>
      <w:r w:rsidRPr="00384187">
        <w:rPr>
          <w:rFonts w:asciiTheme="majorBidi" w:hAnsiTheme="majorBidi" w:cstheme="majorBidi"/>
          <w:sz w:val="24"/>
          <w:szCs w:val="24"/>
          <w:vertAlign w:val="subscript"/>
        </w:rPr>
        <w:t>2</w:t>
      </w:r>
      <w:r w:rsidRPr="00384187">
        <w:rPr>
          <w:rFonts w:asciiTheme="majorBidi" w:hAnsiTheme="majorBidi" w:cstheme="majorBidi"/>
          <w:sz w:val="24"/>
          <w:szCs w:val="24"/>
        </w:rPr>
        <w:t xml:space="preserve"> </w:t>
      </w:r>
    </w:p>
    <w:p w:rsidR="00384187" w:rsidRPr="00384187" w:rsidRDefault="00384187" w:rsidP="0038418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 de l’iode libéré sur le thiosulfate de sodium :</w:t>
      </w:r>
    </w:p>
    <w:p w:rsidR="00384187" w:rsidRPr="00A15991" w:rsidRDefault="003015C7" w:rsidP="003015C7">
      <w:pPr>
        <w:autoSpaceDE w:val="0"/>
        <w:autoSpaceDN w:val="0"/>
        <w:adjustRightInd w:val="0"/>
        <w:spacing w:after="0"/>
        <w:ind w:left="567" w:hanging="567"/>
        <w:rPr>
          <w:rFonts w:asciiTheme="majorBidi" w:hAnsiTheme="majorBidi" w:cstheme="majorBidi"/>
          <w:sz w:val="24"/>
          <w:szCs w:val="24"/>
        </w:rPr>
      </w:pPr>
      <w:r w:rsidRPr="00384187">
        <w:rPr>
          <w:rFonts w:asciiTheme="majorBidi" w:hAnsiTheme="majorBidi" w:cstheme="majorBidi"/>
          <w:sz w:val="24"/>
          <w:szCs w:val="24"/>
        </w:rPr>
        <w:t>Réaction4</w:t>
      </w:r>
      <w:r>
        <w:rPr>
          <w:rFonts w:asciiTheme="majorBidi" w:hAnsiTheme="majorBidi" w:cstheme="majorBidi"/>
          <w:sz w:val="24"/>
          <w:szCs w:val="24"/>
        </w:rPr>
        <w:t xml:space="preserve"> : </w:t>
      </w:r>
      <w:r w:rsidR="00384187" w:rsidRPr="00384187">
        <w:rPr>
          <w:rFonts w:asciiTheme="majorBidi" w:hAnsiTheme="majorBidi" w:cstheme="majorBidi"/>
          <w:sz w:val="24"/>
          <w:szCs w:val="24"/>
        </w:rPr>
        <w:t>I</w:t>
      </w:r>
      <w:r w:rsidR="00384187" w:rsidRPr="003015C7">
        <w:rPr>
          <w:rFonts w:asciiTheme="majorBidi" w:hAnsiTheme="majorBidi" w:cstheme="majorBidi"/>
          <w:sz w:val="24"/>
          <w:szCs w:val="24"/>
          <w:vertAlign w:val="subscript"/>
        </w:rPr>
        <w:t>2</w:t>
      </w:r>
      <w:r w:rsidR="00384187" w:rsidRPr="00384187">
        <w:rPr>
          <w:rFonts w:asciiTheme="majorBidi" w:hAnsiTheme="majorBidi" w:cstheme="majorBidi"/>
          <w:sz w:val="24"/>
          <w:szCs w:val="24"/>
        </w:rPr>
        <w:t xml:space="preserve"> + 2Na</w:t>
      </w:r>
      <w:r w:rsidR="00384187" w:rsidRPr="003015C7">
        <w:rPr>
          <w:rFonts w:asciiTheme="majorBidi" w:hAnsiTheme="majorBidi" w:cstheme="majorBidi"/>
          <w:sz w:val="24"/>
          <w:szCs w:val="24"/>
          <w:vertAlign w:val="subscript"/>
        </w:rPr>
        <w:t>2</w:t>
      </w:r>
      <w:r w:rsidR="00384187" w:rsidRPr="00384187">
        <w:rPr>
          <w:rFonts w:asciiTheme="majorBidi" w:hAnsiTheme="majorBidi" w:cstheme="majorBidi"/>
          <w:sz w:val="24"/>
          <w:szCs w:val="24"/>
        </w:rPr>
        <w:t>S</w:t>
      </w:r>
      <w:r w:rsidR="00384187" w:rsidRPr="003015C7">
        <w:rPr>
          <w:rFonts w:asciiTheme="majorBidi" w:hAnsiTheme="majorBidi" w:cstheme="majorBidi"/>
          <w:sz w:val="24"/>
          <w:szCs w:val="24"/>
          <w:vertAlign w:val="subscript"/>
        </w:rPr>
        <w:t>2</w:t>
      </w:r>
      <w:r w:rsidR="00384187" w:rsidRPr="00384187">
        <w:rPr>
          <w:rFonts w:asciiTheme="majorBidi" w:hAnsiTheme="majorBidi" w:cstheme="majorBidi"/>
          <w:sz w:val="24"/>
          <w:szCs w:val="24"/>
        </w:rPr>
        <w:t>O</w:t>
      </w:r>
      <w:r w:rsidR="00384187" w:rsidRPr="003015C7">
        <w:rPr>
          <w:rFonts w:asciiTheme="majorBidi" w:hAnsiTheme="majorBidi" w:cstheme="majorBidi"/>
          <w:sz w:val="24"/>
          <w:szCs w:val="24"/>
          <w:vertAlign w:val="subscript"/>
        </w:rPr>
        <w:t>3</w:t>
      </w:r>
      <w:r w:rsidR="00384187" w:rsidRPr="00384187">
        <w:rPr>
          <w:rFonts w:asciiTheme="majorBidi" w:hAnsiTheme="majorBidi" w:cstheme="majorBidi"/>
          <w:sz w:val="24"/>
          <w:szCs w:val="24"/>
        </w:rPr>
        <w:t xml:space="preserve"> → 2NaI + Na</w:t>
      </w:r>
      <w:r w:rsidR="00384187" w:rsidRPr="003015C7">
        <w:rPr>
          <w:rFonts w:asciiTheme="majorBidi" w:hAnsiTheme="majorBidi" w:cstheme="majorBidi"/>
          <w:sz w:val="24"/>
          <w:szCs w:val="24"/>
          <w:vertAlign w:val="subscript"/>
        </w:rPr>
        <w:t>2</w:t>
      </w:r>
      <w:r w:rsidR="00384187" w:rsidRPr="00384187">
        <w:rPr>
          <w:rFonts w:asciiTheme="majorBidi" w:hAnsiTheme="majorBidi" w:cstheme="majorBidi"/>
          <w:sz w:val="24"/>
          <w:szCs w:val="24"/>
        </w:rPr>
        <w:t>S</w:t>
      </w:r>
      <w:r w:rsidR="00384187" w:rsidRPr="003015C7">
        <w:rPr>
          <w:rFonts w:asciiTheme="majorBidi" w:hAnsiTheme="majorBidi" w:cstheme="majorBidi"/>
          <w:sz w:val="24"/>
          <w:szCs w:val="24"/>
          <w:vertAlign w:val="subscript"/>
        </w:rPr>
        <w:t>4</w:t>
      </w:r>
      <w:r w:rsidR="00384187" w:rsidRPr="00384187">
        <w:rPr>
          <w:rFonts w:asciiTheme="majorBidi" w:hAnsiTheme="majorBidi" w:cstheme="majorBidi"/>
          <w:sz w:val="24"/>
          <w:szCs w:val="24"/>
        </w:rPr>
        <w:t>O</w:t>
      </w:r>
      <w:r w:rsidR="00384187" w:rsidRPr="003015C7">
        <w:rPr>
          <w:rFonts w:asciiTheme="majorBidi" w:hAnsiTheme="majorBidi" w:cstheme="majorBidi"/>
          <w:sz w:val="24"/>
          <w:szCs w:val="24"/>
          <w:vertAlign w:val="subscript"/>
        </w:rPr>
        <w:t>6</w:t>
      </w:r>
    </w:p>
    <w:p w:rsidR="009469FC" w:rsidRPr="00AD297D" w:rsidRDefault="00AD297D" w:rsidP="00AD297D">
      <w:pPr>
        <w:pStyle w:val="Paragraphedeliste"/>
        <w:numPr>
          <w:ilvl w:val="0"/>
          <w:numId w:val="10"/>
        </w:numPr>
        <w:autoSpaceDE w:val="0"/>
        <w:autoSpaceDN w:val="0"/>
        <w:adjustRightInd w:val="0"/>
        <w:spacing w:after="0"/>
        <w:jc w:val="both"/>
        <w:rPr>
          <w:rFonts w:asciiTheme="majorBidi" w:hAnsiTheme="majorBidi" w:cstheme="majorBidi"/>
          <w:b/>
          <w:bCs/>
          <w:sz w:val="24"/>
          <w:szCs w:val="24"/>
        </w:rPr>
      </w:pPr>
      <w:r w:rsidRPr="00AD297D">
        <w:rPr>
          <w:rFonts w:asciiTheme="majorBidi" w:hAnsiTheme="majorBidi" w:cstheme="majorBidi"/>
          <w:b/>
          <w:bCs/>
          <w:sz w:val="24"/>
          <w:szCs w:val="24"/>
        </w:rPr>
        <w:t>Méthodes de détermination de la stabilité oxydative des lipides</w:t>
      </w:r>
    </w:p>
    <w:p w:rsidR="009469FC" w:rsidRPr="00AD297D" w:rsidRDefault="00AD297D" w:rsidP="00AD297D">
      <w:pPr>
        <w:autoSpaceDE w:val="0"/>
        <w:autoSpaceDN w:val="0"/>
        <w:adjustRightInd w:val="0"/>
        <w:spacing w:after="0"/>
        <w:jc w:val="both"/>
        <w:rPr>
          <w:rFonts w:asciiTheme="majorBidi" w:hAnsiTheme="majorBidi" w:cstheme="majorBidi"/>
          <w:sz w:val="24"/>
          <w:szCs w:val="24"/>
        </w:rPr>
      </w:pPr>
      <w:r w:rsidRPr="00AD297D">
        <w:rPr>
          <w:rFonts w:asciiTheme="majorBidi" w:hAnsiTheme="majorBidi" w:cstheme="majorBidi"/>
          <w:sz w:val="24"/>
          <w:szCs w:val="24"/>
        </w:rPr>
        <w:t>L’oxydation d’une huile peut survenir durant le procédé</w:t>
      </w:r>
      <w:r>
        <w:rPr>
          <w:rFonts w:asciiTheme="majorBidi" w:hAnsiTheme="majorBidi" w:cstheme="majorBidi"/>
          <w:sz w:val="24"/>
          <w:szCs w:val="24"/>
        </w:rPr>
        <w:t xml:space="preserve"> </w:t>
      </w:r>
      <w:r w:rsidRPr="00AD297D">
        <w:rPr>
          <w:rFonts w:asciiTheme="majorBidi" w:hAnsiTheme="majorBidi" w:cstheme="majorBidi"/>
          <w:sz w:val="24"/>
          <w:szCs w:val="24"/>
        </w:rPr>
        <w:t>d’extraction et au cours de la conservation des huiles. Les réactions d’oxydation</w:t>
      </w:r>
      <w:r>
        <w:rPr>
          <w:rFonts w:asciiTheme="majorBidi" w:hAnsiTheme="majorBidi" w:cstheme="majorBidi"/>
          <w:sz w:val="24"/>
          <w:szCs w:val="24"/>
        </w:rPr>
        <w:t xml:space="preserve"> </w:t>
      </w:r>
      <w:r w:rsidRPr="00AD297D">
        <w:rPr>
          <w:rFonts w:asciiTheme="majorBidi" w:hAnsiTheme="majorBidi" w:cstheme="majorBidi"/>
          <w:sz w:val="24"/>
          <w:szCs w:val="24"/>
        </w:rPr>
        <w:t>conditionnent ainsi la durée d’utilisation optimale d’une huile. La résistance à l’oxydation</w:t>
      </w:r>
      <w:r>
        <w:rPr>
          <w:rFonts w:asciiTheme="majorBidi" w:hAnsiTheme="majorBidi" w:cstheme="majorBidi"/>
          <w:sz w:val="24"/>
          <w:szCs w:val="24"/>
        </w:rPr>
        <w:t xml:space="preserve"> </w:t>
      </w:r>
      <w:r w:rsidRPr="00AD297D">
        <w:rPr>
          <w:rFonts w:asciiTheme="majorBidi" w:hAnsiTheme="majorBidi" w:cstheme="majorBidi"/>
          <w:sz w:val="24"/>
          <w:szCs w:val="24"/>
        </w:rPr>
        <w:t xml:space="preserve">peut être déterminée par des tests de vieillissement accéléré (Test de Swift, test de </w:t>
      </w:r>
      <w:proofErr w:type="spellStart"/>
      <w:r w:rsidRPr="00AD297D">
        <w:rPr>
          <w:rFonts w:asciiTheme="majorBidi" w:hAnsiTheme="majorBidi" w:cstheme="majorBidi"/>
          <w:sz w:val="24"/>
          <w:szCs w:val="24"/>
        </w:rPr>
        <w:t>Schaal</w:t>
      </w:r>
      <w:proofErr w:type="spellEnd"/>
      <w:r w:rsidRPr="00AD297D">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AD297D">
        <w:rPr>
          <w:rFonts w:asciiTheme="majorBidi" w:hAnsiTheme="majorBidi" w:cstheme="majorBidi"/>
          <w:sz w:val="24"/>
          <w:szCs w:val="24"/>
        </w:rPr>
        <w:t>Rancimat</w:t>
      </w:r>
      <w:proofErr w:type="spellEnd"/>
      <w:r w:rsidRPr="00AD297D">
        <w:rPr>
          <w:rFonts w:asciiTheme="majorBidi" w:hAnsiTheme="majorBidi" w:cstheme="majorBidi"/>
          <w:sz w:val="24"/>
          <w:szCs w:val="24"/>
        </w:rPr>
        <w:t>, etc.). La résistance à l’oxydation est souvent déterminée par la mesure du</w:t>
      </w:r>
      <w:r>
        <w:rPr>
          <w:rFonts w:asciiTheme="majorBidi" w:hAnsiTheme="majorBidi" w:cstheme="majorBidi"/>
          <w:sz w:val="24"/>
          <w:szCs w:val="24"/>
        </w:rPr>
        <w:t xml:space="preserve"> </w:t>
      </w:r>
      <w:r w:rsidRPr="00AD297D">
        <w:rPr>
          <w:rFonts w:asciiTheme="majorBidi" w:hAnsiTheme="majorBidi" w:cstheme="majorBidi"/>
          <w:sz w:val="24"/>
          <w:szCs w:val="24"/>
        </w:rPr>
        <w:t>temps d’induction de l’oxydation.</w:t>
      </w:r>
    </w:p>
    <w:p w:rsidR="00AD297D" w:rsidRPr="00AD297D" w:rsidRDefault="00AD297D" w:rsidP="00AD297D">
      <w:pPr>
        <w:autoSpaceDE w:val="0"/>
        <w:autoSpaceDN w:val="0"/>
        <w:adjustRightInd w:val="0"/>
        <w:spacing w:after="0"/>
        <w:jc w:val="both"/>
        <w:rPr>
          <w:rFonts w:asciiTheme="majorBidi" w:hAnsiTheme="majorBidi" w:cstheme="majorBidi"/>
          <w:b/>
          <w:bCs/>
          <w:sz w:val="24"/>
          <w:szCs w:val="24"/>
        </w:rPr>
      </w:pPr>
      <w:r w:rsidRPr="00AD297D">
        <w:rPr>
          <w:rFonts w:asciiTheme="majorBidi" w:hAnsiTheme="majorBidi" w:cstheme="majorBidi"/>
          <w:b/>
          <w:bCs/>
          <w:sz w:val="24"/>
          <w:szCs w:val="24"/>
        </w:rPr>
        <w:t xml:space="preserve">a. Test </w:t>
      </w:r>
      <w:proofErr w:type="spellStart"/>
      <w:r w:rsidRPr="00AD297D">
        <w:rPr>
          <w:rFonts w:asciiTheme="majorBidi" w:hAnsiTheme="majorBidi" w:cstheme="majorBidi"/>
          <w:b/>
          <w:bCs/>
          <w:sz w:val="24"/>
          <w:szCs w:val="24"/>
        </w:rPr>
        <w:t>Schaal</w:t>
      </w:r>
      <w:proofErr w:type="spellEnd"/>
    </w:p>
    <w:p w:rsidR="00AD297D" w:rsidRPr="00AD297D" w:rsidRDefault="00AD297D" w:rsidP="00AD297D">
      <w:pPr>
        <w:autoSpaceDE w:val="0"/>
        <w:autoSpaceDN w:val="0"/>
        <w:adjustRightInd w:val="0"/>
        <w:spacing w:after="0"/>
        <w:jc w:val="both"/>
        <w:rPr>
          <w:rFonts w:asciiTheme="majorBidi" w:hAnsiTheme="majorBidi" w:cstheme="majorBidi"/>
          <w:sz w:val="24"/>
          <w:szCs w:val="24"/>
        </w:rPr>
      </w:pPr>
      <w:r w:rsidRPr="00AD297D">
        <w:rPr>
          <w:rFonts w:asciiTheme="majorBidi" w:hAnsiTheme="majorBidi" w:cstheme="majorBidi"/>
          <w:sz w:val="24"/>
          <w:szCs w:val="24"/>
        </w:rPr>
        <w:t>Ce test consiste à oxyder la matière grasse dans une étuve portée à 60°C. La mise en</w:t>
      </w:r>
      <w:r>
        <w:rPr>
          <w:rFonts w:asciiTheme="majorBidi" w:hAnsiTheme="majorBidi" w:cstheme="majorBidi"/>
          <w:sz w:val="24"/>
          <w:szCs w:val="24"/>
        </w:rPr>
        <w:t xml:space="preserve"> </w:t>
      </w:r>
      <w:r w:rsidRPr="00AD297D">
        <w:rPr>
          <w:rFonts w:asciiTheme="majorBidi" w:hAnsiTheme="majorBidi" w:cstheme="majorBidi"/>
          <w:sz w:val="24"/>
          <w:szCs w:val="24"/>
        </w:rPr>
        <w:t>évidence de l'oxydation est montrée par la mesure de l'indice de peroxyde sur des</w:t>
      </w:r>
      <w:r>
        <w:rPr>
          <w:rFonts w:asciiTheme="majorBidi" w:hAnsiTheme="majorBidi" w:cstheme="majorBidi"/>
          <w:sz w:val="24"/>
          <w:szCs w:val="24"/>
        </w:rPr>
        <w:t xml:space="preserve"> </w:t>
      </w:r>
      <w:r w:rsidRPr="00AD297D">
        <w:rPr>
          <w:rFonts w:asciiTheme="majorBidi" w:hAnsiTheme="majorBidi" w:cstheme="majorBidi"/>
          <w:sz w:val="24"/>
          <w:szCs w:val="24"/>
        </w:rPr>
        <w:t>prélèvements faits toutes les 4, 8, ou 24h. Cette méthode présente l'avantage de se</w:t>
      </w:r>
      <w:r>
        <w:rPr>
          <w:rFonts w:asciiTheme="majorBidi" w:hAnsiTheme="majorBidi" w:cstheme="majorBidi"/>
          <w:sz w:val="24"/>
          <w:szCs w:val="24"/>
        </w:rPr>
        <w:t xml:space="preserve"> </w:t>
      </w:r>
      <w:r w:rsidRPr="00AD297D">
        <w:rPr>
          <w:rFonts w:asciiTheme="majorBidi" w:hAnsiTheme="majorBidi" w:cstheme="majorBidi"/>
          <w:sz w:val="24"/>
          <w:szCs w:val="24"/>
        </w:rPr>
        <w:t>rapprocher des conditions réelles de stockage (cas des flacons transparents d'huiles</w:t>
      </w:r>
      <w:r>
        <w:rPr>
          <w:rFonts w:asciiTheme="majorBidi" w:hAnsiTheme="majorBidi" w:cstheme="majorBidi"/>
          <w:sz w:val="24"/>
          <w:szCs w:val="24"/>
        </w:rPr>
        <w:t xml:space="preserve"> </w:t>
      </w:r>
      <w:r w:rsidRPr="00AD297D">
        <w:rPr>
          <w:rFonts w:asciiTheme="majorBidi" w:hAnsiTheme="majorBidi" w:cstheme="majorBidi"/>
          <w:sz w:val="24"/>
          <w:szCs w:val="24"/>
        </w:rPr>
        <w:t>conservés à la lumière du jour et à température ambiante).</w:t>
      </w:r>
    </w:p>
    <w:p w:rsidR="00AD297D" w:rsidRPr="00AD297D" w:rsidRDefault="00AD297D" w:rsidP="00AD297D">
      <w:pPr>
        <w:autoSpaceDE w:val="0"/>
        <w:autoSpaceDN w:val="0"/>
        <w:adjustRightInd w:val="0"/>
        <w:spacing w:after="0"/>
        <w:jc w:val="both"/>
        <w:rPr>
          <w:rFonts w:asciiTheme="majorBidi" w:hAnsiTheme="majorBidi" w:cstheme="majorBidi"/>
          <w:b/>
          <w:bCs/>
          <w:sz w:val="24"/>
          <w:szCs w:val="24"/>
        </w:rPr>
      </w:pPr>
      <w:r w:rsidRPr="00AD297D">
        <w:rPr>
          <w:rFonts w:asciiTheme="majorBidi" w:hAnsiTheme="majorBidi" w:cstheme="majorBidi"/>
          <w:b/>
          <w:bCs/>
          <w:sz w:val="24"/>
          <w:szCs w:val="24"/>
        </w:rPr>
        <w:t xml:space="preserve">b. Test au </w:t>
      </w:r>
      <w:proofErr w:type="spellStart"/>
      <w:r w:rsidRPr="00AD297D">
        <w:rPr>
          <w:rFonts w:asciiTheme="majorBidi" w:hAnsiTheme="majorBidi" w:cstheme="majorBidi"/>
          <w:b/>
          <w:bCs/>
          <w:sz w:val="24"/>
          <w:szCs w:val="24"/>
        </w:rPr>
        <w:t>Rancimat</w:t>
      </w:r>
      <w:proofErr w:type="spellEnd"/>
    </w:p>
    <w:p w:rsidR="00AD297D" w:rsidRPr="00AD297D" w:rsidRDefault="00AD297D" w:rsidP="00E32C88">
      <w:pPr>
        <w:autoSpaceDE w:val="0"/>
        <w:autoSpaceDN w:val="0"/>
        <w:adjustRightInd w:val="0"/>
        <w:spacing w:after="0"/>
        <w:jc w:val="both"/>
        <w:rPr>
          <w:rFonts w:asciiTheme="majorBidi" w:hAnsiTheme="majorBidi" w:cstheme="majorBidi"/>
          <w:sz w:val="24"/>
          <w:szCs w:val="24"/>
        </w:rPr>
      </w:pPr>
      <w:r w:rsidRPr="00AD297D">
        <w:rPr>
          <w:rFonts w:asciiTheme="majorBidi" w:hAnsiTheme="majorBidi" w:cstheme="majorBidi"/>
          <w:sz w:val="24"/>
          <w:szCs w:val="24"/>
        </w:rPr>
        <w:t>Ce test est très utilisé pour évaluer la stabilité oxydative des matières grasses. La</w:t>
      </w:r>
      <w:r>
        <w:rPr>
          <w:rFonts w:asciiTheme="majorBidi" w:hAnsiTheme="majorBidi" w:cstheme="majorBidi"/>
          <w:sz w:val="24"/>
          <w:szCs w:val="24"/>
        </w:rPr>
        <w:t xml:space="preserve"> </w:t>
      </w:r>
      <w:r w:rsidRPr="00AD297D">
        <w:rPr>
          <w:rFonts w:asciiTheme="majorBidi" w:hAnsiTheme="majorBidi" w:cstheme="majorBidi"/>
          <w:sz w:val="24"/>
          <w:szCs w:val="24"/>
        </w:rPr>
        <w:t xml:space="preserve">spécification de TIR (Temps d’Induction </w:t>
      </w:r>
      <w:proofErr w:type="spellStart"/>
      <w:r w:rsidRPr="00AD297D">
        <w:rPr>
          <w:rFonts w:asciiTheme="majorBidi" w:hAnsiTheme="majorBidi" w:cstheme="majorBidi"/>
          <w:sz w:val="24"/>
          <w:szCs w:val="24"/>
        </w:rPr>
        <w:t>Rancimat</w:t>
      </w:r>
      <w:proofErr w:type="spellEnd"/>
      <w:r w:rsidRPr="00AD297D">
        <w:rPr>
          <w:rFonts w:asciiTheme="majorBidi" w:hAnsiTheme="majorBidi" w:cstheme="majorBidi"/>
          <w:sz w:val="24"/>
          <w:szCs w:val="24"/>
        </w:rPr>
        <w:t>, exprimé en heures) correspond au</w:t>
      </w:r>
      <w:r>
        <w:rPr>
          <w:rFonts w:asciiTheme="majorBidi" w:hAnsiTheme="majorBidi" w:cstheme="majorBidi"/>
          <w:sz w:val="24"/>
          <w:szCs w:val="24"/>
        </w:rPr>
        <w:t xml:space="preserve"> </w:t>
      </w:r>
      <w:r w:rsidRPr="00AD297D">
        <w:rPr>
          <w:rFonts w:asciiTheme="majorBidi" w:hAnsiTheme="majorBidi" w:cstheme="majorBidi"/>
          <w:sz w:val="24"/>
          <w:szCs w:val="24"/>
        </w:rPr>
        <w:t>temps pendant lequel la matière grasse résiste à l’oxydation. Le principe du test consiste à</w:t>
      </w:r>
      <w:r w:rsidR="00E32C88">
        <w:rPr>
          <w:rFonts w:asciiTheme="majorBidi" w:hAnsiTheme="majorBidi" w:cstheme="majorBidi"/>
          <w:sz w:val="24"/>
          <w:szCs w:val="24"/>
        </w:rPr>
        <w:t xml:space="preserve"> </w:t>
      </w:r>
      <w:r w:rsidRPr="00AD297D">
        <w:rPr>
          <w:rFonts w:asciiTheme="majorBidi" w:hAnsiTheme="majorBidi" w:cstheme="majorBidi"/>
          <w:sz w:val="24"/>
          <w:szCs w:val="24"/>
        </w:rPr>
        <w:t>accélérer le vieillissement de la matière grasse par décomposition thermique à 110°C sous</w:t>
      </w:r>
      <w:r w:rsidR="00E32C88">
        <w:rPr>
          <w:rFonts w:asciiTheme="majorBidi" w:hAnsiTheme="majorBidi" w:cstheme="majorBidi"/>
          <w:sz w:val="24"/>
          <w:szCs w:val="24"/>
        </w:rPr>
        <w:t xml:space="preserve"> </w:t>
      </w:r>
      <w:r w:rsidRPr="00AD297D">
        <w:rPr>
          <w:rFonts w:asciiTheme="majorBidi" w:hAnsiTheme="majorBidi" w:cstheme="majorBidi"/>
          <w:sz w:val="24"/>
          <w:szCs w:val="24"/>
        </w:rPr>
        <w:t>un flux intensif d'air. Les produits de dégradation qui se forment sont expulsés par le flux</w:t>
      </w:r>
      <w:r w:rsidR="00E32C88">
        <w:rPr>
          <w:rFonts w:asciiTheme="majorBidi" w:hAnsiTheme="majorBidi" w:cstheme="majorBidi"/>
          <w:sz w:val="24"/>
          <w:szCs w:val="24"/>
        </w:rPr>
        <w:t xml:space="preserve"> </w:t>
      </w:r>
      <w:r w:rsidRPr="00AD297D">
        <w:rPr>
          <w:rFonts w:asciiTheme="majorBidi" w:hAnsiTheme="majorBidi" w:cstheme="majorBidi"/>
          <w:sz w:val="24"/>
          <w:szCs w:val="24"/>
        </w:rPr>
        <w:t>et transférés dans la cellule de mesure remplie d’eau distillée. Le temps d'induction est</w:t>
      </w:r>
      <w:r w:rsidR="00E32C88">
        <w:rPr>
          <w:rFonts w:asciiTheme="majorBidi" w:hAnsiTheme="majorBidi" w:cstheme="majorBidi"/>
          <w:sz w:val="24"/>
          <w:szCs w:val="24"/>
        </w:rPr>
        <w:t xml:space="preserve"> </w:t>
      </w:r>
      <w:r w:rsidRPr="00AD297D">
        <w:rPr>
          <w:rFonts w:asciiTheme="majorBidi" w:hAnsiTheme="majorBidi" w:cstheme="majorBidi"/>
          <w:sz w:val="24"/>
          <w:szCs w:val="24"/>
        </w:rPr>
        <w:t xml:space="preserve">déterminé par conductimétrie et correspond au TIR. </w:t>
      </w:r>
    </w:p>
    <w:p w:rsidR="00AD297D" w:rsidRPr="00AD297D" w:rsidRDefault="00AD297D" w:rsidP="00AD297D">
      <w:pPr>
        <w:autoSpaceDE w:val="0"/>
        <w:autoSpaceDN w:val="0"/>
        <w:adjustRightInd w:val="0"/>
        <w:spacing w:after="0"/>
        <w:jc w:val="both"/>
        <w:rPr>
          <w:rFonts w:asciiTheme="majorBidi" w:hAnsiTheme="majorBidi" w:cstheme="majorBidi"/>
          <w:sz w:val="24"/>
          <w:szCs w:val="24"/>
        </w:rPr>
      </w:pPr>
    </w:p>
    <w:p w:rsidR="00194013" w:rsidRPr="00AD297D" w:rsidRDefault="00194013" w:rsidP="00AD297D">
      <w:pPr>
        <w:autoSpaceDE w:val="0"/>
        <w:autoSpaceDN w:val="0"/>
        <w:adjustRightInd w:val="0"/>
        <w:spacing w:after="0"/>
        <w:jc w:val="both"/>
        <w:rPr>
          <w:rFonts w:asciiTheme="majorBidi" w:hAnsiTheme="majorBidi" w:cstheme="majorBidi"/>
          <w:sz w:val="24"/>
          <w:szCs w:val="24"/>
        </w:rPr>
      </w:pPr>
    </w:p>
    <w:sectPr w:rsidR="00194013" w:rsidRPr="00AD297D" w:rsidSect="001C0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4E4"/>
    <w:multiLevelType w:val="hybridMultilevel"/>
    <w:tmpl w:val="A6BCE8FA"/>
    <w:lvl w:ilvl="0" w:tplc="6772059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1E6B5F"/>
    <w:multiLevelType w:val="hybridMultilevel"/>
    <w:tmpl w:val="DAC42C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94C0E"/>
    <w:multiLevelType w:val="multilevel"/>
    <w:tmpl w:val="21C6F05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CFC22BE"/>
    <w:multiLevelType w:val="multilevel"/>
    <w:tmpl w:val="0FC0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179CF"/>
    <w:multiLevelType w:val="multilevel"/>
    <w:tmpl w:val="8448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E2E18"/>
    <w:multiLevelType w:val="hybridMultilevel"/>
    <w:tmpl w:val="09F0A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E11152"/>
    <w:multiLevelType w:val="hybridMultilevel"/>
    <w:tmpl w:val="6CEAC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334698"/>
    <w:multiLevelType w:val="hybridMultilevel"/>
    <w:tmpl w:val="D2409F34"/>
    <w:lvl w:ilvl="0" w:tplc="B328AFB2">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D70DEE"/>
    <w:multiLevelType w:val="hybridMultilevel"/>
    <w:tmpl w:val="150A8E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C420C6"/>
    <w:multiLevelType w:val="hybridMultilevel"/>
    <w:tmpl w:val="2C5E66C2"/>
    <w:lvl w:ilvl="0" w:tplc="AB78AE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33697A"/>
    <w:multiLevelType w:val="hybridMultilevel"/>
    <w:tmpl w:val="680E72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4B4219"/>
    <w:multiLevelType w:val="hybridMultilevel"/>
    <w:tmpl w:val="E416C5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E9330A"/>
    <w:multiLevelType w:val="hybridMultilevel"/>
    <w:tmpl w:val="A6BCE8FA"/>
    <w:lvl w:ilvl="0" w:tplc="6772059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035872"/>
    <w:multiLevelType w:val="hybridMultilevel"/>
    <w:tmpl w:val="B902F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AE02AF"/>
    <w:multiLevelType w:val="hybridMultilevel"/>
    <w:tmpl w:val="9C40E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115AD3"/>
    <w:multiLevelType w:val="multilevel"/>
    <w:tmpl w:val="531A7D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CC97070"/>
    <w:multiLevelType w:val="hybridMultilevel"/>
    <w:tmpl w:val="9C0C1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1"/>
  </w:num>
  <w:num w:numId="5">
    <w:abstractNumId w:val="8"/>
  </w:num>
  <w:num w:numId="6">
    <w:abstractNumId w:val="5"/>
  </w:num>
  <w:num w:numId="7">
    <w:abstractNumId w:val="13"/>
  </w:num>
  <w:num w:numId="8">
    <w:abstractNumId w:val="4"/>
  </w:num>
  <w:num w:numId="9">
    <w:abstractNumId w:val="3"/>
  </w:num>
  <w:num w:numId="10">
    <w:abstractNumId w:val="15"/>
  </w:num>
  <w:num w:numId="11">
    <w:abstractNumId w:val="7"/>
  </w:num>
  <w:num w:numId="12">
    <w:abstractNumId w:val="6"/>
  </w:num>
  <w:num w:numId="13">
    <w:abstractNumId w:val="9"/>
  </w:num>
  <w:num w:numId="14">
    <w:abstractNumId w:val="12"/>
  </w:num>
  <w:num w:numId="15">
    <w:abstractNumId w:val="14"/>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C49A3"/>
    <w:rsid w:val="00020038"/>
    <w:rsid w:val="000A52B7"/>
    <w:rsid w:val="000B55B0"/>
    <w:rsid w:val="000F551C"/>
    <w:rsid w:val="001168B6"/>
    <w:rsid w:val="00142042"/>
    <w:rsid w:val="00165E4D"/>
    <w:rsid w:val="00175660"/>
    <w:rsid w:val="00194013"/>
    <w:rsid w:val="001B66B9"/>
    <w:rsid w:val="001C0780"/>
    <w:rsid w:val="002451C6"/>
    <w:rsid w:val="002C4B2A"/>
    <w:rsid w:val="00300AFC"/>
    <w:rsid w:val="003015C7"/>
    <w:rsid w:val="0030600B"/>
    <w:rsid w:val="00321D55"/>
    <w:rsid w:val="00366DDC"/>
    <w:rsid w:val="0038191D"/>
    <w:rsid w:val="00384187"/>
    <w:rsid w:val="003C7EA9"/>
    <w:rsid w:val="0041712B"/>
    <w:rsid w:val="00436B64"/>
    <w:rsid w:val="0046312D"/>
    <w:rsid w:val="00466348"/>
    <w:rsid w:val="00491DEF"/>
    <w:rsid w:val="004A1CD7"/>
    <w:rsid w:val="004D143B"/>
    <w:rsid w:val="00502404"/>
    <w:rsid w:val="00541234"/>
    <w:rsid w:val="005B7CC7"/>
    <w:rsid w:val="005C3184"/>
    <w:rsid w:val="005D0156"/>
    <w:rsid w:val="0065148F"/>
    <w:rsid w:val="00686977"/>
    <w:rsid w:val="006E5F0F"/>
    <w:rsid w:val="00757DC4"/>
    <w:rsid w:val="007B44AB"/>
    <w:rsid w:val="00806B33"/>
    <w:rsid w:val="00816DA5"/>
    <w:rsid w:val="008178FB"/>
    <w:rsid w:val="00821358"/>
    <w:rsid w:val="00826B8B"/>
    <w:rsid w:val="008521C1"/>
    <w:rsid w:val="008865F9"/>
    <w:rsid w:val="008C3793"/>
    <w:rsid w:val="0091357E"/>
    <w:rsid w:val="00935676"/>
    <w:rsid w:val="009469FC"/>
    <w:rsid w:val="00961C38"/>
    <w:rsid w:val="00972AE0"/>
    <w:rsid w:val="00981E64"/>
    <w:rsid w:val="00A15991"/>
    <w:rsid w:val="00A54552"/>
    <w:rsid w:val="00A565E5"/>
    <w:rsid w:val="00A70E4E"/>
    <w:rsid w:val="00AB73FD"/>
    <w:rsid w:val="00AC49A3"/>
    <w:rsid w:val="00AD297D"/>
    <w:rsid w:val="00AF7C1F"/>
    <w:rsid w:val="00B05EB2"/>
    <w:rsid w:val="00B45E93"/>
    <w:rsid w:val="00B56FD8"/>
    <w:rsid w:val="00B65D24"/>
    <w:rsid w:val="00B765D0"/>
    <w:rsid w:val="00BB51E9"/>
    <w:rsid w:val="00BC70CD"/>
    <w:rsid w:val="00C1250D"/>
    <w:rsid w:val="00C16771"/>
    <w:rsid w:val="00C87883"/>
    <w:rsid w:val="00CD7F5A"/>
    <w:rsid w:val="00D30B3C"/>
    <w:rsid w:val="00D36EDE"/>
    <w:rsid w:val="00E31B9A"/>
    <w:rsid w:val="00E32C88"/>
    <w:rsid w:val="00E47BF6"/>
    <w:rsid w:val="00E50D42"/>
    <w:rsid w:val="00EA4777"/>
    <w:rsid w:val="00FC6560"/>
    <w:rsid w:val="00FE71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80"/>
  </w:style>
  <w:style w:type="paragraph" w:styleId="Titre2">
    <w:name w:val="heading 2"/>
    <w:basedOn w:val="Normal"/>
    <w:next w:val="Normal"/>
    <w:link w:val="Titre2Car"/>
    <w:uiPriority w:val="99"/>
    <w:qFormat/>
    <w:rsid w:val="00AC49A3"/>
    <w:pPr>
      <w:autoSpaceDE w:val="0"/>
      <w:autoSpaceDN w:val="0"/>
      <w:adjustRightInd w:val="0"/>
      <w:spacing w:after="0" w:line="240" w:lineRule="auto"/>
      <w:outlineLvl w:val="1"/>
    </w:pPr>
    <w:rPr>
      <w:rFonts w:ascii="Arial" w:hAnsi="Arial" w:cs="Arial"/>
      <w:sz w:val="24"/>
      <w:szCs w:val="24"/>
    </w:rPr>
  </w:style>
  <w:style w:type="paragraph" w:styleId="Titre3">
    <w:name w:val="heading 3"/>
    <w:basedOn w:val="Normal"/>
    <w:next w:val="Normal"/>
    <w:link w:val="Titre3Car"/>
    <w:uiPriority w:val="9"/>
    <w:semiHidden/>
    <w:unhideWhenUsed/>
    <w:qFormat/>
    <w:rsid w:val="00852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AC49A3"/>
    <w:rPr>
      <w:rFonts w:ascii="Arial" w:hAnsi="Arial" w:cs="Arial"/>
      <w:sz w:val="24"/>
      <w:szCs w:val="24"/>
    </w:rPr>
  </w:style>
  <w:style w:type="paragraph" w:styleId="Paragraphedeliste">
    <w:name w:val="List Paragraph"/>
    <w:basedOn w:val="Normal"/>
    <w:uiPriority w:val="34"/>
    <w:qFormat/>
    <w:rsid w:val="00757DC4"/>
    <w:pPr>
      <w:ind w:left="720"/>
      <w:contextualSpacing/>
    </w:pPr>
  </w:style>
  <w:style w:type="character" w:customStyle="1" w:styleId="Titre3Car">
    <w:name w:val="Titre 3 Car"/>
    <w:basedOn w:val="Policepardfaut"/>
    <w:link w:val="Titre3"/>
    <w:uiPriority w:val="9"/>
    <w:semiHidden/>
    <w:rsid w:val="008521C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2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279795">
      <w:bodyDiv w:val="1"/>
      <w:marLeft w:val="0"/>
      <w:marRight w:val="0"/>
      <w:marTop w:val="0"/>
      <w:marBottom w:val="0"/>
      <w:divBdr>
        <w:top w:val="none" w:sz="0" w:space="0" w:color="auto"/>
        <w:left w:val="none" w:sz="0" w:space="0" w:color="auto"/>
        <w:bottom w:val="none" w:sz="0" w:space="0" w:color="auto"/>
        <w:right w:val="none" w:sz="0" w:space="0" w:color="auto"/>
      </w:divBdr>
      <w:divsChild>
        <w:div w:id="10687914">
          <w:marLeft w:val="0"/>
          <w:marRight w:val="0"/>
          <w:marTop w:val="0"/>
          <w:marBottom w:val="0"/>
          <w:divBdr>
            <w:top w:val="none" w:sz="0" w:space="0" w:color="auto"/>
            <w:left w:val="none" w:sz="0" w:space="0" w:color="auto"/>
            <w:bottom w:val="none" w:sz="0" w:space="0" w:color="auto"/>
            <w:right w:val="none" w:sz="0" w:space="0" w:color="auto"/>
          </w:divBdr>
        </w:div>
        <w:div w:id="95297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10</Pages>
  <Words>3055</Words>
  <Characters>16805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belkacem</dc:creator>
  <cp:keywords/>
  <dc:description/>
  <cp:lastModifiedBy>belkacem</cp:lastModifiedBy>
  <cp:revision>50</cp:revision>
  <dcterms:created xsi:type="dcterms:W3CDTF">2020-04-01T12:03:00Z</dcterms:created>
  <dcterms:modified xsi:type="dcterms:W3CDTF">2020-04-18T13:01:00Z</dcterms:modified>
</cp:coreProperties>
</file>