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91" w:rsidRDefault="00657891" w:rsidP="006578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9B4" w:rsidRPr="00657891" w:rsidRDefault="00657891" w:rsidP="006578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91">
        <w:rPr>
          <w:rFonts w:ascii="Times New Roman" w:hAnsi="Times New Roman" w:cs="Times New Roman"/>
          <w:b/>
          <w:sz w:val="28"/>
          <w:szCs w:val="28"/>
        </w:rPr>
        <w:t>Les polluants organiques persistants dans l'environnement</w:t>
      </w:r>
    </w:p>
    <w:p w:rsidR="00635D0A" w:rsidRPr="00657891" w:rsidRDefault="00635D0A" w:rsidP="00635D0A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891">
        <w:rPr>
          <w:rFonts w:ascii="Times New Roman" w:hAnsi="Times New Roman" w:cs="Times New Roman"/>
          <w:b/>
          <w:sz w:val="24"/>
          <w:szCs w:val="24"/>
          <w:u w:val="single"/>
        </w:rPr>
        <w:t>1. Définition</w:t>
      </w:r>
    </w:p>
    <w:p w:rsidR="00635D0A" w:rsidRPr="00635D0A" w:rsidRDefault="00CB101C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D0A" w:rsidRPr="00635D0A">
        <w:rPr>
          <w:rFonts w:ascii="Times New Roman" w:hAnsi="Times New Roman" w:cs="Times New Roman"/>
          <w:sz w:val="24"/>
          <w:szCs w:val="24"/>
        </w:rPr>
        <w:t xml:space="preserve">La pollution organique est un type de pollution chimique provoquée par les polluants carbonés, comme la </w:t>
      </w:r>
      <w:r w:rsidRPr="00635D0A">
        <w:rPr>
          <w:rFonts w:ascii="Times New Roman" w:hAnsi="Times New Roman" w:cs="Times New Roman"/>
          <w:sz w:val="24"/>
          <w:szCs w:val="24"/>
        </w:rPr>
        <w:t>matière</w:t>
      </w:r>
      <w:r w:rsidR="00635D0A" w:rsidRPr="00635D0A">
        <w:rPr>
          <w:rFonts w:ascii="Times New Roman" w:hAnsi="Times New Roman" w:cs="Times New Roman"/>
          <w:sz w:val="24"/>
          <w:szCs w:val="24"/>
        </w:rPr>
        <w:t xml:space="preserve"> organique (lisie</w:t>
      </w:r>
      <w:r>
        <w:rPr>
          <w:rFonts w:ascii="Times New Roman" w:hAnsi="Times New Roman" w:cs="Times New Roman"/>
          <w:sz w:val="24"/>
          <w:szCs w:val="24"/>
        </w:rPr>
        <w:t>r, boues d'épuration, etc.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635D0A" w:rsidRPr="00635D0A">
        <w:rPr>
          <w:rFonts w:ascii="Times New Roman" w:hAnsi="Times New Roman" w:cs="Times New Roman"/>
          <w:sz w:val="24"/>
          <w:szCs w:val="24"/>
        </w:rPr>
        <w:t>es organochlorés (DDT) ou encor</w:t>
      </w:r>
      <w:r>
        <w:rPr>
          <w:rFonts w:ascii="Times New Roman" w:hAnsi="Times New Roman" w:cs="Times New Roman"/>
          <w:sz w:val="24"/>
          <w:szCs w:val="24"/>
        </w:rPr>
        <w:t>e les polychlorobiphényles (PCB)</w:t>
      </w:r>
      <w:r w:rsidR="00635D0A" w:rsidRPr="00635D0A">
        <w:rPr>
          <w:rFonts w:ascii="Times New Roman" w:hAnsi="Times New Roman" w:cs="Times New Roman"/>
          <w:sz w:val="24"/>
          <w:szCs w:val="24"/>
        </w:rPr>
        <w:t>.</w:t>
      </w:r>
    </w:p>
    <w:p w:rsidR="00635D0A" w:rsidRPr="00635D0A" w:rsidRDefault="00CB101C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D0A" w:rsidRPr="00635D0A">
        <w:rPr>
          <w:rFonts w:ascii="Times New Roman" w:hAnsi="Times New Roman" w:cs="Times New Roman"/>
          <w:sz w:val="24"/>
          <w:szCs w:val="24"/>
        </w:rPr>
        <w:t xml:space="preserve">Dans le cas de la </w:t>
      </w:r>
      <w:r w:rsidRPr="00635D0A">
        <w:rPr>
          <w:rFonts w:ascii="Times New Roman" w:hAnsi="Times New Roman" w:cs="Times New Roman"/>
          <w:sz w:val="24"/>
          <w:szCs w:val="24"/>
        </w:rPr>
        <w:t>matière</w:t>
      </w:r>
      <w:r w:rsidR="00635D0A" w:rsidRPr="00635D0A">
        <w:rPr>
          <w:rFonts w:ascii="Times New Roman" w:hAnsi="Times New Roman" w:cs="Times New Roman"/>
          <w:sz w:val="24"/>
          <w:szCs w:val="24"/>
        </w:rPr>
        <w:t xml:space="preserve"> organique, les polluants peuvent augmenter la turbidité des eaux et créer un phénomène d'eutrophisation avec une diminution de la quantité d'oxygène dissous. Ces </w:t>
      </w:r>
      <w:proofErr w:type="gramStart"/>
      <w:r w:rsidR="00635D0A" w:rsidRPr="00635D0A">
        <w:rPr>
          <w:rFonts w:ascii="Times New Roman" w:hAnsi="Times New Roman" w:cs="Times New Roman"/>
          <w:sz w:val="24"/>
          <w:szCs w:val="24"/>
        </w:rPr>
        <w:t>modification</w:t>
      </w:r>
      <w:proofErr w:type="gramEnd"/>
      <w:r w:rsidR="00635D0A" w:rsidRPr="00635D0A">
        <w:rPr>
          <w:rFonts w:ascii="Times New Roman" w:hAnsi="Times New Roman" w:cs="Times New Roman"/>
          <w:sz w:val="24"/>
          <w:szCs w:val="24"/>
        </w:rPr>
        <w:t xml:space="preserve"> environnementales ont de profondes conséquences sur les populations d'un milieu (Disparition d'espèces, prolifération d'autres espèces).</w:t>
      </w:r>
    </w:p>
    <w:p w:rsidR="00635D0A" w:rsidRPr="00635D0A" w:rsidRDefault="00CB101C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D0A" w:rsidRPr="00635D0A">
        <w:rPr>
          <w:rFonts w:ascii="Times New Roman" w:hAnsi="Times New Roman" w:cs="Times New Roman"/>
          <w:sz w:val="24"/>
          <w:szCs w:val="24"/>
        </w:rPr>
        <w:t>Les effets des autres polluants organiques sont tés variables suivant leur nature, certains étant très biodégradables (carbamates), d'autres persistants (dioxines)</w:t>
      </w:r>
    </w:p>
    <w:p w:rsidR="00635D0A" w:rsidRDefault="00CB101C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D0A">
        <w:rPr>
          <w:rFonts w:ascii="Times New Roman" w:hAnsi="Times New Roman" w:cs="Times New Roman"/>
          <w:sz w:val="24"/>
          <w:szCs w:val="24"/>
        </w:rPr>
        <w:t xml:space="preserve">Parmi ces derniers, </w:t>
      </w:r>
      <w:r w:rsidR="00635D0A" w:rsidRPr="00CB101C">
        <w:rPr>
          <w:rFonts w:ascii="Times New Roman" w:hAnsi="Times New Roman" w:cs="Times New Roman"/>
          <w:b/>
          <w:sz w:val="24"/>
          <w:szCs w:val="24"/>
        </w:rPr>
        <w:t>les polluants</w:t>
      </w:r>
      <w:r w:rsidR="00635D0A">
        <w:rPr>
          <w:rFonts w:ascii="Times New Roman" w:hAnsi="Times New Roman" w:cs="Times New Roman"/>
          <w:sz w:val="24"/>
          <w:szCs w:val="24"/>
        </w:rPr>
        <w:t xml:space="preserve"> </w:t>
      </w:r>
      <w:r w:rsidR="00635D0A" w:rsidRPr="00CB101C">
        <w:rPr>
          <w:rFonts w:ascii="Times New Roman" w:hAnsi="Times New Roman" w:cs="Times New Roman"/>
          <w:b/>
          <w:sz w:val="24"/>
          <w:szCs w:val="24"/>
        </w:rPr>
        <w:t>organiques</w:t>
      </w:r>
      <w:r w:rsidR="00635D0A">
        <w:rPr>
          <w:rFonts w:ascii="Times New Roman" w:hAnsi="Times New Roman" w:cs="Times New Roman"/>
          <w:sz w:val="24"/>
          <w:szCs w:val="24"/>
        </w:rPr>
        <w:t xml:space="preserve"> </w:t>
      </w:r>
      <w:r w:rsidR="00635D0A" w:rsidRPr="00CB101C">
        <w:rPr>
          <w:rFonts w:ascii="Times New Roman" w:hAnsi="Times New Roman" w:cs="Times New Roman"/>
          <w:b/>
          <w:sz w:val="24"/>
          <w:szCs w:val="24"/>
        </w:rPr>
        <w:t>persistants</w:t>
      </w:r>
      <w:r w:rsidR="00635D0A">
        <w:rPr>
          <w:rFonts w:ascii="Times New Roman" w:hAnsi="Times New Roman" w:cs="Times New Roman"/>
          <w:sz w:val="24"/>
          <w:szCs w:val="24"/>
        </w:rPr>
        <w:t xml:space="preserve"> (</w:t>
      </w:r>
      <w:r w:rsidR="00635D0A" w:rsidRPr="00CB101C">
        <w:rPr>
          <w:rFonts w:ascii="Times New Roman" w:hAnsi="Times New Roman" w:cs="Times New Roman"/>
          <w:b/>
          <w:color w:val="FF0000"/>
          <w:sz w:val="24"/>
          <w:szCs w:val="24"/>
        </w:rPr>
        <w:t>POP</w:t>
      </w:r>
      <w:r w:rsidR="00635D0A">
        <w:rPr>
          <w:rFonts w:ascii="Times New Roman" w:hAnsi="Times New Roman" w:cs="Times New Roman"/>
          <w:sz w:val="24"/>
          <w:szCs w:val="24"/>
        </w:rPr>
        <w:t>), tels que les</w:t>
      </w:r>
      <w:r w:rsidR="00635D0A" w:rsidRPr="00CB1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PCB</w:t>
      </w:r>
      <w:r w:rsidR="00635D0A">
        <w:rPr>
          <w:rFonts w:ascii="Times New Roman" w:hAnsi="Times New Roman" w:cs="Times New Roman"/>
          <w:sz w:val="24"/>
          <w:szCs w:val="24"/>
        </w:rPr>
        <w:t xml:space="preserve"> et le </w:t>
      </w:r>
      <w:r w:rsidR="00635D0A" w:rsidRPr="00CB101C">
        <w:rPr>
          <w:rFonts w:ascii="Times New Roman" w:hAnsi="Times New Roman" w:cs="Times New Roman"/>
          <w:b/>
          <w:color w:val="FF0000"/>
          <w:sz w:val="24"/>
          <w:szCs w:val="24"/>
        </w:rPr>
        <w:t>DDT</w:t>
      </w:r>
      <w:r w:rsidR="00635D0A">
        <w:rPr>
          <w:rFonts w:ascii="Times New Roman" w:hAnsi="Times New Roman" w:cs="Times New Roman"/>
          <w:sz w:val="24"/>
          <w:szCs w:val="24"/>
        </w:rPr>
        <w:t xml:space="preserve">, sont </w:t>
      </w:r>
      <w:r>
        <w:rPr>
          <w:rFonts w:ascii="Times New Roman" w:hAnsi="Times New Roman" w:cs="Times New Roman"/>
          <w:sz w:val="24"/>
          <w:szCs w:val="24"/>
        </w:rPr>
        <w:t>particulièrement</w:t>
      </w:r>
      <w:r w:rsidR="00635D0A">
        <w:rPr>
          <w:rFonts w:ascii="Times New Roman" w:hAnsi="Times New Roman" w:cs="Times New Roman"/>
          <w:sz w:val="24"/>
          <w:szCs w:val="24"/>
        </w:rPr>
        <w:t xml:space="preserve"> toxiques puisqu'ils sont lipophiles. Il y a donc bioamplification de ces polluants à chaque échelon de la chaine alimentaire, </w:t>
      </w:r>
      <w:proofErr w:type="gramStart"/>
      <w:r w:rsidR="00635D0A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="00635D0A">
        <w:rPr>
          <w:rFonts w:ascii="Times New Roman" w:hAnsi="Times New Roman" w:cs="Times New Roman"/>
          <w:sz w:val="24"/>
          <w:szCs w:val="24"/>
        </w:rPr>
        <w:t xml:space="preserve"> dernier étant les plus contaminés. Or l'homme est au sommet de la chaine alimentaire.</w:t>
      </w:r>
    </w:p>
    <w:p w:rsidR="00CB101C" w:rsidRPr="00657891" w:rsidRDefault="00657891" w:rsidP="00635D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891">
        <w:rPr>
          <w:rFonts w:ascii="Times New Roman" w:hAnsi="Times New Roman" w:cs="Times New Roman"/>
          <w:b/>
          <w:sz w:val="24"/>
          <w:szCs w:val="24"/>
          <w:u w:val="single"/>
        </w:rPr>
        <w:t>2. Normes Algériennes sur les polluants organiques</w:t>
      </w:r>
      <w:r w:rsidR="00E00CAC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persistant </w:t>
      </w:r>
    </w:p>
    <w:p w:rsidR="004F253E" w:rsidRDefault="00F8426A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L'Algérie a ratifié la convention de </w:t>
      </w:r>
      <w:r w:rsidR="00D924E7">
        <w:rPr>
          <w:rFonts w:ascii="Times New Roman" w:hAnsi="Times New Roman" w:cs="Times New Roman"/>
          <w:sz w:val="24"/>
          <w:szCs w:val="24"/>
        </w:rPr>
        <w:t>Stockholm</w:t>
      </w:r>
      <w:r>
        <w:rPr>
          <w:rFonts w:ascii="Times New Roman" w:hAnsi="Times New Roman" w:cs="Times New Roman"/>
          <w:sz w:val="24"/>
          <w:szCs w:val="24"/>
        </w:rPr>
        <w:t xml:space="preserve"> sur les prod</w:t>
      </w:r>
      <w:r w:rsidR="00D924E7">
        <w:rPr>
          <w:rFonts w:ascii="Times New Roman" w:hAnsi="Times New Roman" w:cs="Times New Roman"/>
          <w:sz w:val="24"/>
          <w:szCs w:val="24"/>
        </w:rPr>
        <w:t>uits organiques persistants (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adoptée le 22 mai 2001, par la promulgation </w:t>
      </w:r>
      <w:r w:rsidRPr="004F253E">
        <w:rPr>
          <w:rFonts w:ascii="Times New Roman" w:hAnsi="Times New Roman" w:cs="Times New Roman"/>
          <w:b/>
          <w:sz w:val="24"/>
          <w:szCs w:val="24"/>
        </w:rPr>
        <w:t xml:space="preserve">du </w:t>
      </w:r>
      <w:r w:rsidR="00D924E7" w:rsidRPr="004F253E">
        <w:rPr>
          <w:rFonts w:ascii="Times New Roman" w:hAnsi="Times New Roman" w:cs="Times New Roman"/>
          <w:b/>
          <w:sz w:val="24"/>
          <w:szCs w:val="24"/>
        </w:rPr>
        <w:t>décret</w:t>
      </w:r>
      <w:r w:rsidRPr="004F253E">
        <w:rPr>
          <w:rFonts w:ascii="Times New Roman" w:hAnsi="Times New Roman" w:cs="Times New Roman"/>
          <w:b/>
          <w:sz w:val="24"/>
          <w:szCs w:val="24"/>
        </w:rPr>
        <w:t xml:space="preserve"> présidentiel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4E7">
        <w:rPr>
          <w:rFonts w:ascii="Times New Roman" w:hAnsi="Times New Roman" w:cs="Times New Roman"/>
          <w:b/>
          <w:sz w:val="24"/>
          <w:szCs w:val="24"/>
          <w:u w:val="single"/>
        </w:rPr>
        <w:t>N°06-206 du</w:t>
      </w:r>
      <w:r w:rsidR="00D924E7" w:rsidRPr="00D92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07</w:t>
      </w:r>
      <w:r w:rsidRPr="00D92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24E7" w:rsidRPr="00D924E7">
        <w:rPr>
          <w:rFonts w:ascii="Times New Roman" w:hAnsi="Times New Roman" w:cs="Times New Roman"/>
          <w:b/>
          <w:sz w:val="24"/>
          <w:szCs w:val="24"/>
          <w:u w:val="single"/>
        </w:rPr>
        <w:t>juin 2006</w:t>
      </w:r>
      <w:r w:rsidR="00D924E7">
        <w:rPr>
          <w:rFonts w:ascii="Times New Roman" w:hAnsi="Times New Roman" w:cs="Times New Roman"/>
          <w:sz w:val="24"/>
          <w:szCs w:val="24"/>
        </w:rPr>
        <w:t>.</w:t>
      </w:r>
    </w:p>
    <w:p w:rsidR="00F8426A" w:rsidRDefault="004F253E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une liste de 26 </w:t>
      </w:r>
      <w:proofErr w:type="spellStart"/>
      <w:r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identifiés par la Convention de Stockholm, l'Algérie est concerné par cinq (05) de ces derniers, allant entre pesticides et polychlorobiphényle </w:t>
      </w:r>
      <w:r w:rsidRPr="004F253E">
        <w:rPr>
          <w:rFonts w:ascii="Times New Roman" w:hAnsi="Times New Roman" w:cs="Times New Roman"/>
          <w:b/>
          <w:sz w:val="24"/>
          <w:szCs w:val="24"/>
        </w:rPr>
        <w:t>(PCB)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4F253E">
        <w:rPr>
          <w:rFonts w:ascii="Times New Roman" w:hAnsi="Times New Roman" w:cs="Times New Roman"/>
          <w:b/>
          <w:sz w:val="24"/>
          <w:szCs w:val="24"/>
        </w:rPr>
        <w:t>askarels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sont des huiles très toxiques et peu biodégradables, se trouvant </w:t>
      </w:r>
      <w:r w:rsidR="00E00CAC">
        <w:rPr>
          <w:rFonts w:ascii="Times New Roman" w:hAnsi="Times New Roman" w:cs="Times New Roman"/>
          <w:sz w:val="24"/>
          <w:szCs w:val="24"/>
        </w:rPr>
        <w:t>notamment</w:t>
      </w:r>
      <w:r>
        <w:rPr>
          <w:rFonts w:ascii="Times New Roman" w:hAnsi="Times New Roman" w:cs="Times New Roman"/>
          <w:sz w:val="24"/>
          <w:szCs w:val="24"/>
        </w:rPr>
        <w:t xml:space="preserve"> dans les transformateurs et radiateurs.</w:t>
      </w:r>
      <w:r w:rsidR="00D924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24E7" w:rsidRDefault="005D0823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L'a</w:t>
      </w:r>
      <w:r w:rsidR="00F8426A" w:rsidRPr="005D0823">
        <w:rPr>
          <w:rFonts w:ascii="Times New Roman" w:hAnsi="Times New Roman" w:cs="Times New Roman"/>
          <w:b/>
          <w:sz w:val="24"/>
          <w:szCs w:val="24"/>
          <w:u w:val="single"/>
        </w:rPr>
        <w:t xml:space="preserve">rticle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8426A" w:rsidRPr="005D082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8426A">
        <w:rPr>
          <w:rFonts w:ascii="Times New Roman" w:hAnsi="Times New Roman" w:cs="Times New Roman"/>
          <w:sz w:val="24"/>
          <w:szCs w:val="24"/>
        </w:rPr>
        <w:t xml:space="preserve"> relatif aux </w:t>
      </w:r>
      <w:r w:rsidR="004F253E">
        <w:rPr>
          <w:rFonts w:ascii="Times New Roman" w:hAnsi="Times New Roman" w:cs="Times New Roman"/>
          <w:sz w:val="24"/>
          <w:szCs w:val="24"/>
        </w:rPr>
        <w:t>P</w:t>
      </w:r>
      <w:r w:rsidR="00F8426A">
        <w:rPr>
          <w:rFonts w:ascii="Times New Roman" w:hAnsi="Times New Roman" w:cs="Times New Roman"/>
          <w:sz w:val="24"/>
          <w:szCs w:val="24"/>
        </w:rPr>
        <w:t xml:space="preserve">ans </w:t>
      </w:r>
      <w:r w:rsidR="004F253E">
        <w:rPr>
          <w:rFonts w:ascii="Times New Roman" w:hAnsi="Times New Roman" w:cs="Times New Roman"/>
          <w:sz w:val="24"/>
          <w:szCs w:val="24"/>
        </w:rPr>
        <w:t xml:space="preserve">National </w:t>
      </w:r>
      <w:r w:rsidR="00F8426A">
        <w:rPr>
          <w:rFonts w:ascii="Times New Roman" w:hAnsi="Times New Roman" w:cs="Times New Roman"/>
          <w:sz w:val="24"/>
          <w:szCs w:val="24"/>
        </w:rPr>
        <w:t xml:space="preserve">de </w:t>
      </w:r>
      <w:r w:rsidR="004F253E">
        <w:rPr>
          <w:rFonts w:ascii="Times New Roman" w:hAnsi="Times New Roman" w:cs="Times New Roman"/>
          <w:sz w:val="24"/>
          <w:szCs w:val="24"/>
        </w:rPr>
        <w:t>M</w:t>
      </w:r>
      <w:r w:rsidR="00F8426A">
        <w:rPr>
          <w:rFonts w:ascii="Times New Roman" w:hAnsi="Times New Roman" w:cs="Times New Roman"/>
          <w:sz w:val="24"/>
          <w:szCs w:val="24"/>
        </w:rPr>
        <w:t xml:space="preserve">ise en </w:t>
      </w:r>
      <w:r>
        <w:rPr>
          <w:rFonts w:ascii="Times New Roman" w:hAnsi="Times New Roman" w:cs="Times New Roman"/>
          <w:sz w:val="24"/>
          <w:szCs w:val="24"/>
        </w:rPr>
        <w:t>œuvre</w:t>
      </w:r>
      <w:r w:rsidR="004F253E">
        <w:rPr>
          <w:rFonts w:ascii="Times New Roman" w:hAnsi="Times New Roman" w:cs="Times New Roman"/>
          <w:sz w:val="24"/>
          <w:szCs w:val="24"/>
        </w:rPr>
        <w:t xml:space="preserve"> </w:t>
      </w:r>
      <w:r w:rsidR="004F253E" w:rsidRPr="004F253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F253E" w:rsidRPr="004F253E">
        <w:rPr>
          <w:rFonts w:ascii="Times New Roman" w:hAnsi="Times New Roman" w:cs="Times New Roman"/>
          <w:b/>
          <w:sz w:val="24"/>
          <w:szCs w:val="24"/>
        </w:rPr>
        <w:t>PNM</w:t>
      </w:r>
      <w:proofErr w:type="spellEnd"/>
      <w:r w:rsidR="004F253E" w:rsidRPr="004F253E">
        <w:rPr>
          <w:rFonts w:ascii="Times New Roman" w:hAnsi="Times New Roman" w:cs="Times New Roman"/>
          <w:b/>
          <w:sz w:val="24"/>
          <w:szCs w:val="24"/>
        </w:rPr>
        <w:t>)</w:t>
      </w:r>
      <w:r w:rsidR="00D924E7" w:rsidRPr="004F2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4E7">
        <w:rPr>
          <w:rFonts w:ascii="Times New Roman" w:hAnsi="Times New Roman" w:cs="Times New Roman"/>
          <w:sz w:val="24"/>
          <w:szCs w:val="24"/>
        </w:rPr>
        <w:t xml:space="preserve">: chaque partie et s'efforce de mettre en </w:t>
      </w:r>
      <w:r>
        <w:rPr>
          <w:rFonts w:ascii="Times New Roman" w:hAnsi="Times New Roman" w:cs="Times New Roman"/>
          <w:sz w:val="24"/>
          <w:szCs w:val="24"/>
        </w:rPr>
        <w:t>œuvre un plan pour s'acquitter</w:t>
      </w:r>
      <w:r w:rsidR="00D924E7">
        <w:rPr>
          <w:rFonts w:ascii="Times New Roman" w:hAnsi="Times New Roman" w:cs="Times New Roman"/>
          <w:sz w:val="24"/>
          <w:szCs w:val="24"/>
        </w:rPr>
        <w:t xml:space="preserve"> de ses obli</w:t>
      </w:r>
      <w:r>
        <w:rPr>
          <w:rFonts w:ascii="Times New Roman" w:hAnsi="Times New Roman" w:cs="Times New Roman"/>
          <w:sz w:val="24"/>
          <w:szCs w:val="24"/>
        </w:rPr>
        <w:t>gation en vertu de la présent</w:t>
      </w:r>
      <w:r w:rsidR="00D924E7">
        <w:rPr>
          <w:rFonts w:ascii="Times New Roman" w:hAnsi="Times New Roman" w:cs="Times New Roman"/>
          <w:sz w:val="24"/>
          <w:szCs w:val="24"/>
        </w:rPr>
        <w:t>e convention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53E" w:rsidRDefault="004F253E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53E" w:rsidRDefault="004F253E" w:rsidP="00635D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823" w:rsidRPr="005D0823" w:rsidRDefault="005D0823" w:rsidP="004F2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924E7">
        <w:rPr>
          <w:rFonts w:ascii="Times New Roman" w:hAnsi="Times New Roman" w:cs="Times New Roman"/>
          <w:sz w:val="24"/>
          <w:szCs w:val="24"/>
        </w:rPr>
        <w:t xml:space="preserve">convention de Stockholm sur les polluants organiques persistants est un accord international qui interdit un certain nombre de substances chimiques, </w:t>
      </w:r>
      <w:r>
        <w:rPr>
          <w:rFonts w:ascii="Times New Roman" w:hAnsi="Times New Roman" w:cs="Times New Roman"/>
          <w:sz w:val="24"/>
          <w:szCs w:val="24"/>
        </w:rPr>
        <w:t>très</w:t>
      </w:r>
      <w:r w:rsidR="00D924E7">
        <w:rPr>
          <w:rFonts w:ascii="Times New Roman" w:hAnsi="Times New Roman" w:cs="Times New Roman"/>
          <w:sz w:val="24"/>
          <w:szCs w:val="24"/>
        </w:rPr>
        <w:t xml:space="preserve"> polluants (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aldrine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 xml:space="preserve">, chlordane,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dieldrine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endrine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hepatachlore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hexachlorobenzéne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mirex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4E7">
        <w:rPr>
          <w:rFonts w:ascii="Times New Roman" w:hAnsi="Times New Roman" w:cs="Times New Roman"/>
          <w:sz w:val="24"/>
          <w:szCs w:val="24"/>
        </w:rPr>
        <w:t>toxaphéne</w:t>
      </w:r>
      <w:proofErr w:type="spellEnd"/>
      <w:r w:rsidR="00D924E7">
        <w:rPr>
          <w:rFonts w:ascii="Times New Roman" w:hAnsi="Times New Roman" w:cs="Times New Roman"/>
          <w:sz w:val="24"/>
          <w:szCs w:val="24"/>
        </w:rPr>
        <w:t>, PCB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24E7">
        <w:rPr>
          <w:rFonts w:ascii="Times New Roman" w:hAnsi="Times New Roman" w:cs="Times New Roman"/>
          <w:sz w:val="24"/>
          <w:szCs w:val="24"/>
        </w:rPr>
        <w:t>...APS</w:t>
      </w:r>
      <w:r w:rsidR="00F8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2A" w:rsidRDefault="00A7562A" w:rsidP="00A7562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01C" w:rsidRPr="004F253E" w:rsidRDefault="00E00CAC" w:rsidP="00A7562A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F253E" w:rsidRPr="004F25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0823" w:rsidRPr="004F253E">
        <w:rPr>
          <w:rFonts w:ascii="Times New Roman" w:hAnsi="Times New Roman" w:cs="Times New Roman"/>
          <w:b/>
          <w:sz w:val="24"/>
          <w:szCs w:val="24"/>
        </w:rPr>
        <w:t>L</w:t>
      </w:r>
      <w:r w:rsidR="00AF5526" w:rsidRPr="004F2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823" w:rsidRPr="004F253E">
        <w:rPr>
          <w:rFonts w:ascii="Times New Roman" w:hAnsi="Times New Roman" w:cs="Times New Roman"/>
          <w:b/>
          <w:sz w:val="24"/>
          <w:szCs w:val="24"/>
        </w:rPr>
        <w:t xml:space="preserve">es étapes d'élaboration du </w:t>
      </w:r>
      <w:proofErr w:type="gramStart"/>
      <w:r w:rsidR="005D0823" w:rsidRPr="004F253E">
        <w:rPr>
          <w:rFonts w:ascii="Times New Roman" w:hAnsi="Times New Roman" w:cs="Times New Roman"/>
          <w:b/>
          <w:sz w:val="24"/>
          <w:szCs w:val="24"/>
        </w:rPr>
        <w:t>PNM:</w:t>
      </w:r>
      <w:proofErr w:type="gramEnd"/>
    </w:p>
    <w:p w:rsidR="00A7562A" w:rsidRPr="00A7562A" w:rsidRDefault="005D0823" w:rsidP="005D08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62A">
        <w:rPr>
          <w:rFonts w:ascii="Times New Roman" w:hAnsi="Times New Roman" w:cs="Times New Roman"/>
          <w:b/>
          <w:sz w:val="24"/>
          <w:szCs w:val="24"/>
        </w:rPr>
        <w:t xml:space="preserve">Etape </w:t>
      </w:r>
      <w:proofErr w:type="gramStart"/>
      <w:r w:rsidRPr="00A7562A">
        <w:rPr>
          <w:rFonts w:ascii="Times New Roman" w:hAnsi="Times New Roman" w:cs="Times New Roman"/>
          <w:b/>
          <w:sz w:val="24"/>
          <w:szCs w:val="24"/>
        </w:rPr>
        <w:t>01:</w:t>
      </w:r>
      <w:proofErr w:type="gramEnd"/>
      <w:r w:rsidRPr="00A7562A">
        <w:rPr>
          <w:rFonts w:ascii="Times New Roman" w:hAnsi="Times New Roman" w:cs="Times New Roman"/>
          <w:sz w:val="24"/>
          <w:szCs w:val="24"/>
        </w:rPr>
        <w:t xml:space="preserve"> Mise </w:t>
      </w:r>
      <w:r w:rsidR="00A7562A" w:rsidRPr="00A7562A">
        <w:rPr>
          <w:rFonts w:ascii="Times New Roman" w:hAnsi="Times New Roman" w:cs="Times New Roman"/>
          <w:sz w:val="24"/>
          <w:szCs w:val="24"/>
        </w:rPr>
        <w:t>en</w:t>
      </w:r>
      <w:r w:rsidRPr="00A7562A">
        <w:rPr>
          <w:rFonts w:ascii="Times New Roman" w:hAnsi="Times New Roman" w:cs="Times New Roman"/>
          <w:sz w:val="24"/>
          <w:szCs w:val="24"/>
        </w:rPr>
        <w:t xml:space="preserve"> place des mécanismes de coordination et d'organisation du processus de </w:t>
      </w:r>
      <w:r w:rsidR="00A7562A" w:rsidRPr="00A7562A">
        <w:rPr>
          <w:rFonts w:ascii="Times New Roman" w:hAnsi="Times New Roman" w:cs="Times New Roman"/>
          <w:sz w:val="24"/>
          <w:szCs w:val="24"/>
        </w:rPr>
        <w:t>renforcement</w:t>
      </w:r>
      <w:r w:rsidRPr="00A7562A">
        <w:rPr>
          <w:rFonts w:ascii="Times New Roman" w:hAnsi="Times New Roman" w:cs="Times New Roman"/>
          <w:sz w:val="24"/>
          <w:szCs w:val="24"/>
        </w:rPr>
        <w:t xml:space="preserve"> des capacités nationales</w:t>
      </w:r>
      <w:r w:rsidR="00A7562A">
        <w:rPr>
          <w:rFonts w:ascii="Times New Roman" w:hAnsi="Times New Roman" w:cs="Times New Roman"/>
          <w:sz w:val="24"/>
          <w:szCs w:val="24"/>
        </w:rPr>
        <w:t>;</w:t>
      </w:r>
    </w:p>
    <w:p w:rsidR="00A7562A" w:rsidRDefault="00A7562A" w:rsidP="00A7562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b/>
          <w:sz w:val="24"/>
          <w:szCs w:val="24"/>
        </w:rPr>
        <w:t>Etape 02 :</w:t>
      </w:r>
      <w:r>
        <w:rPr>
          <w:rFonts w:ascii="Times New Roman" w:hAnsi="Times New Roman" w:cs="Times New Roman"/>
          <w:sz w:val="24"/>
          <w:szCs w:val="24"/>
        </w:rPr>
        <w:t xml:space="preserve"> Réalisation de l'inventaire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évaluation des infrastructures et capacités </w:t>
      </w:r>
      <w:proofErr w:type="gramStart"/>
      <w:r>
        <w:rPr>
          <w:rFonts w:ascii="Times New Roman" w:hAnsi="Times New Roman" w:cs="Times New Roman"/>
          <w:sz w:val="24"/>
          <w:szCs w:val="24"/>
        </w:rPr>
        <w:t>nationales;</w:t>
      </w:r>
      <w:proofErr w:type="gramEnd"/>
    </w:p>
    <w:p w:rsidR="00A7562A" w:rsidRDefault="00A7562A" w:rsidP="00A7562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b/>
          <w:sz w:val="24"/>
          <w:szCs w:val="24"/>
        </w:rPr>
        <w:t xml:space="preserve">Etape </w:t>
      </w:r>
      <w:proofErr w:type="gramStart"/>
      <w:r w:rsidRPr="0053134E">
        <w:rPr>
          <w:rFonts w:ascii="Times New Roman" w:hAnsi="Times New Roman" w:cs="Times New Roman"/>
          <w:b/>
          <w:sz w:val="24"/>
          <w:szCs w:val="24"/>
        </w:rPr>
        <w:t>03: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Détermination des priorité et des objectifs;</w:t>
      </w:r>
    </w:p>
    <w:p w:rsidR="00A7562A" w:rsidRDefault="00A7562A" w:rsidP="00A7562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b/>
          <w:sz w:val="24"/>
          <w:szCs w:val="24"/>
        </w:rPr>
        <w:t xml:space="preserve">Etape </w:t>
      </w:r>
      <w:proofErr w:type="gramStart"/>
      <w:r w:rsidRPr="0053134E">
        <w:rPr>
          <w:rFonts w:ascii="Times New Roman" w:hAnsi="Times New Roman" w:cs="Times New Roman"/>
          <w:b/>
          <w:sz w:val="24"/>
          <w:szCs w:val="24"/>
        </w:rPr>
        <w:t>04: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Elaboration de l'esquisse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PNM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préparation des plans d'action spécifiques;</w:t>
      </w:r>
    </w:p>
    <w:p w:rsidR="00AF5526" w:rsidRDefault="00AF5526" w:rsidP="00AF5526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526" w:rsidRPr="004F253E" w:rsidRDefault="00E00CAC" w:rsidP="00AF5526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F253E" w:rsidRPr="004F25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5526" w:rsidRPr="004F253E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gramStart"/>
      <w:r w:rsidR="00AF5526" w:rsidRPr="004F253E">
        <w:rPr>
          <w:rFonts w:ascii="Times New Roman" w:hAnsi="Times New Roman" w:cs="Times New Roman"/>
          <w:b/>
          <w:sz w:val="24"/>
          <w:szCs w:val="24"/>
        </w:rPr>
        <w:t>inventaire</w:t>
      </w:r>
      <w:proofErr w:type="gramEnd"/>
      <w:r w:rsidR="00AF5526" w:rsidRPr="004F253E">
        <w:rPr>
          <w:rFonts w:ascii="Times New Roman" w:hAnsi="Times New Roman" w:cs="Times New Roman"/>
          <w:b/>
          <w:sz w:val="24"/>
          <w:szCs w:val="24"/>
        </w:rPr>
        <w:t xml:space="preserve"> des </w:t>
      </w:r>
      <w:proofErr w:type="spellStart"/>
      <w:r w:rsidR="00AF5526" w:rsidRPr="004F253E">
        <w:rPr>
          <w:rFonts w:ascii="Times New Roman" w:hAnsi="Times New Roman" w:cs="Times New Roman"/>
          <w:b/>
          <w:sz w:val="24"/>
          <w:szCs w:val="24"/>
        </w:rPr>
        <w:t>Pop's</w:t>
      </w:r>
      <w:proofErr w:type="spellEnd"/>
      <w:r w:rsidR="00AF5526" w:rsidRPr="004F2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526" w:rsidRDefault="00AF5526" w:rsidP="00AF55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PCB en service au rebut total transformateurs</w:t>
      </w:r>
      <w:r w:rsidR="004F2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condensateurs</w:t>
      </w:r>
      <w:r w:rsidR="004F25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disjoncteurs équipements à PCB (3.042 appareils </w:t>
      </w:r>
      <w:proofErr w:type="gramStart"/>
      <w:r>
        <w:rPr>
          <w:rFonts w:ascii="Times New Roman" w:hAnsi="Times New Roman" w:cs="Times New Roman"/>
          <w:sz w:val="24"/>
          <w:szCs w:val="24"/>
        </w:rPr>
        <w:t>aux rebut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en service) (</w:t>
      </w:r>
      <w:r w:rsidR="004F253E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kg) huile </w:t>
      </w:r>
      <w:proofErr w:type="spellStart"/>
      <w:r w:rsidR="004F253E">
        <w:rPr>
          <w:rFonts w:ascii="Times New Roman" w:hAnsi="Times New Roman" w:cs="Times New Roman"/>
          <w:sz w:val="24"/>
          <w:szCs w:val="24"/>
        </w:rPr>
        <w:t>askar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2D68" w:rsidRDefault="00AF5526" w:rsidP="00AF55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pesticides</w:t>
      </w:r>
      <w:r w:rsidR="00F42D68">
        <w:rPr>
          <w:rFonts w:ascii="Times New Roman" w:hAnsi="Times New Roman" w:cs="Times New Roman"/>
          <w:sz w:val="24"/>
          <w:szCs w:val="24"/>
        </w:rPr>
        <w:t xml:space="preserve"> :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68">
        <w:rPr>
          <w:rFonts w:ascii="Times New Roman" w:hAnsi="Times New Roman" w:cs="Times New Roman"/>
          <w:sz w:val="24"/>
          <w:szCs w:val="24"/>
        </w:rPr>
        <w:t>quantité</w:t>
      </w:r>
      <w:r>
        <w:rPr>
          <w:rFonts w:ascii="Times New Roman" w:hAnsi="Times New Roman" w:cs="Times New Roman"/>
          <w:sz w:val="24"/>
          <w:szCs w:val="24"/>
        </w:rPr>
        <w:t xml:space="preserve"> globale</w:t>
      </w:r>
      <w:r w:rsidR="004F253E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 1731 tonnes pesticides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soit 11.40%; les pesticides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pesticide organophosphorés </w:t>
      </w:r>
      <w:r w:rsidR="00F42D68">
        <w:rPr>
          <w:rFonts w:ascii="Times New Roman" w:hAnsi="Times New Roman" w:cs="Times New Roman"/>
          <w:sz w:val="24"/>
          <w:szCs w:val="24"/>
        </w:rPr>
        <w:t xml:space="preserve">est de </w:t>
      </w:r>
      <w:r>
        <w:rPr>
          <w:rFonts w:ascii="Times New Roman" w:hAnsi="Times New Roman" w:cs="Times New Roman"/>
          <w:sz w:val="24"/>
          <w:szCs w:val="24"/>
        </w:rPr>
        <w:t xml:space="preserve">191 tonnes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DTT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soit 96.8%</w:t>
      </w:r>
      <w:r w:rsidR="00F42D68">
        <w:rPr>
          <w:rFonts w:ascii="Times New Roman" w:hAnsi="Times New Roman" w:cs="Times New Roman"/>
          <w:sz w:val="24"/>
          <w:szCs w:val="24"/>
        </w:rPr>
        <w:t xml:space="preserve"> où 180 tonnes se trouve à Mostaganem.</w:t>
      </w:r>
    </w:p>
    <w:p w:rsidR="00F42D68" w:rsidRDefault="00F42D68" w:rsidP="00AF55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Dioxines/Furannes : la quantité globale est 32 (g.teq/an) dont les principales sources de génération sont l'incinération des </w:t>
      </w:r>
      <w:r w:rsidR="00FB0231">
        <w:rPr>
          <w:rFonts w:ascii="Times New Roman" w:hAnsi="Times New Roman" w:cs="Times New Roman"/>
          <w:sz w:val="24"/>
          <w:szCs w:val="24"/>
        </w:rPr>
        <w:t>déchets</w:t>
      </w:r>
      <w:r>
        <w:rPr>
          <w:rFonts w:ascii="Times New Roman" w:hAnsi="Times New Roman" w:cs="Times New Roman"/>
          <w:sz w:val="24"/>
          <w:szCs w:val="24"/>
        </w:rPr>
        <w:t xml:space="preserve"> de différentes origines provenant des décharges sauvages (2100 décharges dont 350 localisées au niveau des 40 grandes villes du pays), l'industrie chimique et le transport.</w:t>
      </w:r>
    </w:p>
    <w:p w:rsidR="00FB0231" w:rsidRDefault="00FB0231" w:rsidP="00AF55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sites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contaminés: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y a 145 sites contaminés au niveau du territoire national;  07 sites pollués par le DDT (Mostaganem), 67 sites par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Dieldrine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(Région centre) et un site contaminées par les PCB (Laghouat).</w:t>
      </w:r>
    </w:p>
    <w:p w:rsidR="004532E6" w:rsidRDefault="004532E6" w:rsidP="004532E6">
      <w:pPr>
        <w:pStyle w:val="a3"/>
        <w:spacing w:line="360" w:lineRule="auto"/>
        <w:ind w:left="1641"/>
        <w:jc w:val="both"/>
        <w:rPr>
          <w:rFonts w:ascii="Times New Roman" w:hAnsi="Times New Roman" w:cs="Times New Roman"/>
          <w:sz w:val="24"/>
          <w:szCs w:val="24"/>
        </w:rPr>
      </w:pPr>
    </w:p>
    <w:p w:rsidR="00FB0231" w:rsidRPr="00DC7DB7" w:rsidRDefault="00E00CAC" w:rsidP="00FB02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C7DB7" w:rsidRPr="00DC7D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231" w:rsidRPr="00DC7DB7">
        <w:rPr>
          <w:rFonts w:ascii="Times New Roman" w:hAnsi="Times New Roman" w:cs="Times New Roman"/>
          <w:b/>
          <w:sz w:val="24"/>
          <w:szCs w:val="24"/>
        </w:rPr>
        <w:t xml:space="preserve">Les domaines d'intervention du </w:t>
      </w:r>
      <w:proofErr w:type="spellStart"/>
      <w:r w:rsidR="00FB0231" w:rsidRPr="00DC7DB7">
        <w:rPr>
          <w:rFonts w:ascii="Times New Roman" w:hAnsi="Times New Roman" w:cs="Times New Roman"/>
          <w:b/>
          <w:sz w:val="24"/>
          <w:szCs w:val="24"/>
        </w:rPr>
        <w:t>PNM</w:t>
      </w:r>
      <w:proofErr w:type="spellEnd"/>
    </w:p>
    <w:p w:rsidR="00FB0231" w:rsidRPr="00217107" w:rsidRDefault="00217107" w:rsidP="002171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107">
        <w:rPr>
          <w:rFonts w:ascii="Times New Roman" w:hAnsi="Times New Roman" w:cs="Times New Roman"/>
          <w:sz w:val="24"/>
          <w:szCs w:val="24"/>
        </w:rPr>
        <w:t xml:space="preserve">Renforcement des institution et des </w:t>
      </w:r>
      <w:proofErr w:type="gramStart"/>
      <w:r w:rsidRPr="00217107">
        <w:rPr>
          <w:rFonts w:ascii="Times New Roman" w:hAnsi="Times New Roman" w:cs="Times New Roman"/>
          <w:sz w:val="24"/>
          <w:szCs w:val="24"/>
        </w:rPr>
        <w:t>réglementations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7107" w:rsidRPr="00217107" w:rsidRDefault="00217107" w:rsidP="002171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l</w:t>
      </w:r>
      <w:r w:rsidRPr="00217107">
        <w:rPr>
          <w:rFonts w:ascii="Times New Roman" w:hAnsi="Times New Roman" w:cs="Times New Roman"/>
          <w:sz w:val="24"/>
          <w:szCs w:val="24"/>
        </w:rPr>
        <w:t xml:space="preserve">es </w:t>
      </w:r>
      <w:proofErr w:type="gramStart"/>
      <w:r w:rsidRPr="00217107">
        <w:rPr>
          <w:rFonts w:ascii="Times New Roman" w:hAnsi="Times New Roman" w:cs="Times New Roman"/>
          <w:sz w:val="24"/>
          <w:szCs w:val="24"/>
        </w:rPr>
        <w:t>substances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07">
        <w:rPr>
          <w:rFonts w:ascii="Times New Roman" w:hAnsi="Times New Roman" w:cs="Times New Roman"/>
          <w:sz w:val="24"/>
          <w:szCs w:val="24"/>
        </w:rPr>
        <w:t xml:space="preserve"> </w:t>
      </w:r>
      <w:r w:rsidR="005313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3134E">
        <w:rPr>
          <w:rFonts w:ascii="Times New Roman" w:hAnsi="Times New Roman" w:cs="Times New Roman"/>
          <w:sz w:val="24"/>
          <w:szCs w:val="24"/>
        </w:rPr>
        <w:t xml:space="preserve">pesticides </w:t>
      </w:r>
      <w:proofErr w:type="spellStart"/>
      <w:r w:rsidR="0053134E">
        <w:rPr>
          <w:rFonts w:ascii="Times New Roman" w:hAnsi="Times New Roman" w:cs="Times New Roman"/>
          <w:sz w:val="24"/>
          <w:szCs w:val="24"/>
        </w:rPr>
        <w:t>Pop's</w:t>
      </w:r>
      <w:proofErr w:type="spellEnd"/>
      <w:r w:rsidR="0053134E">
        <w:rPr>
          <w:rFonts w:ascii="Times New Roman" w:hAnsi="Times New Roman" w:cs="Times New Roman"/>
          <w:sz w:val="24"/>
          <w:szCs w:val="24"/>
        </w:rPr>
        <w:t xml:space="preserve"> , PCB et DDT);</w:t>
      </w:r>
    </w:p>
    <w:p w:rsidR="00217107" w:rsidRPr="00217107" w:rsidRDefault="0053134E" w:rsidP="0021710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Gestion </w:t>
      </w:r>
      <w:r w:rsidR="00217107" w:rsidRPr="002171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17107" w:rsidRPr="00217107">
        <w:rPr>
          <w:rFonts w:ascii="Times New Roman" w:hAnsi="Times New Roman" w:cs="Times New Roman"/>
          <w:sz w:val="24"/>
          <w:szCs w:val="24"/>
        </w:rPr>
        <w:t xml:space="preserve"> rejets résultant d'une production non intentionne</w:t>
      </w:r>
      <w:r>
        <w:rPr>
          <w:rFonts w:ascii="Times New Roman" w:hAnsi="Times New Roman" w:cs="Times New Roman"/>
          <w:sz w:val="24"/>
          <w:szCs w:val="24"/>
        </w:rPr>
        <w:t xml:space="preserve">lle de Dioxines/Furannes et </w:t>
      </w:r>
      <w:proofErr w:type="gramStart"/>
      <w:r>
        <w:rPr>
          <w:rFonts w:ascii="Times New Roman" w:hAnsi="Times New Roman" w:cs="Times New Roman"/>
          <w:sz w:val="24"/>
          <w:szCs w:val="24"/>
        </w:rPr>
        <w:t>PCB;</w:t>
      </w:r>
      <w:proofErr w:type="gramEnd"/>
    </w:p>
    <w:p w:rsidR="00217107" w:rsidRPr="0053134E" w:rsidRDefault="00217107" w:rsidP="005313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sz w:val="24"/>
          <w:szCs w:val="24"/>
        </w:rPr>
        <w:t xml:space="preserve">Gestion des </w:t>
      </w:r>
      <w:r w:rsidR="0053134E" w:rsidRPr="0053134E">
        <w:rPr>
          <w:rFonts w:ascii="Times New Roman" w:hAnsi="Times New Roman" w:cs="Times New Roman"/>
          <w:sz w:val="24"/>
          <w:szCs w:val="24"/>
        </w:rPr>
        <w:t>stocks</w:t>
      </w:r>
      <w:r w:rsidRPr="0053134E">
        <w:rPr>
          <w:rFonts w:ascii="Times New Roman" w:hAnsi="Times New Roman" w:cs="Times New Roman"/>
          <w:sz w:val="24"/>
          <w:szCs w:val="24"/>
        </w:rPr>
        <w:t xml:space="preserve"> </w:t>
      </w:r>
      <w:r w:rsidR="0053134E" w:rsidRPr="0053134E">
        <w:rPr>
          <w:rFonts w:ascii="Times New Roman" w:hAnsi="Times New Roman" w:cs="Times New Roman"/>
          <w:sz w:val="24"/>
          <w:szCs w:val="24"/>
        </w:rPr>
        <w:t>obsolètes</w:t>
      </w:r>
      <w:r w:rsidRPr="0053134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53134E">
        <w:rPr>
          <w:rFonts w:ascii="Times New Roman" w:hAnsi="Times New Roman" w:cs="Times New Roman"/>
          <w:sz w:val="24"/>
          <w:szCs w:val="24"/>
        </w:rPr>
        <w:t>Pop's</w:t>
      </w:r>
      <w:proofErr w:type="spellEnd"/>
      <w:r w:rsidRPr="0053134E">
        <w:rPr>
          <w:rFonts w:ascii="Times New Roman" w:hAnsi="Times New Roman" w:cs="Times New Roman"/>
          <w:sz w:val="24"/>
          <w:szCs w:val="24"/>
        </w:rPr>
        <w:t xml:space="preserve"> intentionnels, sites contaminés et </w:t>
      </w:r>
      <w:proofErr w:type="gramStart"/>
      <w:r w:rsidR="0053134E" w:rsidRPr="0053134E">
        <w:rPr>
          <w:rFonts w:ascii="Times New Roman" w:hAnsi="Times New Roman" w:cs="Times New Roman"/>
          <w:sz w:val="24"/>
          <w:szCs w:val="24"/>
        </w:rPr>
        <w:t>déchets</w:t>
      </w:r>
      <w:r w:rsidR="0053134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7107" w:rsidRPr="0053134E" w:rsidRDefault="0053134E" w:rsidP="005313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sz w:val="24"/>
          <w:szCs w:val="24"/>
        </w:rPr>
        <w:t>Echange</w:t>
      </w:r>
      <w:r w:rsidR="00217107" w:rsidRPr="00531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107" w:rsidRPr="0053134E">
        <w:rPr>
          <w:rFonts w:ascii="Times New Roman" w:hAnsi="Times New Roman" w:cs="Times New Roman"/>
          <w:sz w:val="24"/>
          <w:szCs w:val="24"/>
        </w:rPr>
        <w:t>d'information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17107" w:rsidRPr="0053134E" w:rsidRDefault="00217107" w:rsidP="005313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sz w:val="24"/>
          <w:szCs w:val="24"/>
        </w:rPr>
        <w:t xml:space="preserve">Sensibilisation, </w:t>
      </w:r>
      <w:r w:rsidR="0053134E" w:rsidRPr="0053134E">
        <w:rPr>
          <w:rFonts w:ascii="Times New Roman" w:hAnsi="Times New Roman" w:cs="Times New Roman"/>
          <w:sz w:val="24"/>
          <w:szCs w:val="24"/>
        </w:rPr>
        <w:t>information</w:t>
      </w:r>
      <w:r w:rsidRPr="0053134E">
        <w:rPr>
          <w:rFonts w:ascii="Times New Roman" w:hAnsi="Times New Roman" w:cs="Times New Roman"/>
          <w:sz w:val="24"/>
          <w:szCs w:val="24"/>
        </w:rPr>
        <w:t xml:space="preserve"> et éducation de la </w:t>
      </w:r>
      <w:r w:rsidR="0053134E" w:rsidRPr="0053134E">
        <w:rPr>
          <w:rFonts w:ascii="Times New Roman" w:hAnsi="Times New Roman" w:cs="Times New Roman"/>
          <w:sz w:val="24"/>
          <w:szCs w:val="24"/>
        </w:rPr>
        <w:t>population</w:t>
      </w:r>
      <w:r w:rsidR="0053134E">
        <w:rPr>
          <w:rFonts w:ascii="Times New Roman" w:hAnsi="Times New Roman" w:cs="Times New Roman"/>
          <w:sz w:val="24"/>
          <w:szCs w:val="24"/>
        </w:rPr>
        <w:t>.</w:t>
      </w:r>
    </w:p>
    <w:p w:rsidR="00217107" w:rsidRPr="0053134E" w:rsidRDefault="00217107" w:rsidP="005313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sz w:val="24"/>
          <w:szCs w:val="24"/>
        </w:rPr>
        <w:t>Etablissement de rapports</w:t>
      </w:r>
    </w:p>
    <w:p w:rsidR="00217107" w:rsidRDefault="00217107" w:rsidP="0053134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34E">
        <w:rPr>
          <w:rFonts w:ascii="Times New Roman" w:hAnsi="Times New Roman" w:cs="Times New Roman"/>
          <w:sz w:val="24"/>
          <w:szCs w:val="24"/>
        </w:rPr>
        <w:t>Recherche-développement</w:t>
      </w:r>
    </w:p>
    <w:p w:rsidR="0053134E" w:rsidRDefault="0053134E" w:rsidP="005313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4E" w:rsidRPr="00DC7DB7" w:rsidRDefault="00E00CAC" w:rsidP="0053134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C7DB7" w:rsidRPr="00DC7D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34E" w:rsidRPr="00DC7DB7">
        <w:rPr>
          <w:rFonts w:ascii="Times New Roman" w:hAnsi="Times New Roman" w:cs="Times New Roman"/>
          <w:b/>
          <w:sz w:val="24"/>
          <w:szCs w:val="24"/>
        </w:rPr>
        <w:t>Les activités, stratégie et plans d'actions</w:t>
      </w:r>
    </w:p>
    <w:p w:rsidR="0053134E" w:rsidRDefault="0053134E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Elaboration d'un programme d'élimination des pesticides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Pop's</w:t>
      </w:r>
      <w:proofErr w:type="spellEnd"/>
      <w:r>
        <w:rPr>
          <w:rFonts w:ascii="Times New Roman" w:hAnsi="Times New Roman" w:cs="Times New Roman"/>
          <w:sz w:val="24"/>
          <w:szCs w:val="24"/>
        </w:rPr>
        <w:t>, des stocks périmés</w:t>
      </w:r>
      <w:r w:rsidR="00DC7D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4E" w:rsidRDefault="0053134E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en place un programme soutenu d'information et de </w:t>
      </w:r>
      <w:r w:rsidR="000F5F07">
        <w:rPr>
          <w:rFonts w:ascii="Times New Roman" w:hAnsi="Times New Roman" w:cs="Times New Roman"/>
          <w:sz w:val="24"/>
          <w:szCs w:val="24"/>
        </w:rPr>
        <w:t>sensibilisation</w:t>
      </w:r>
      <w:r>
        <w:rPr>
          <w:rFonts w:ascii="Times New Roman" w:hAnsi="Times New Roman" w:cs="Times New Roman"/>
          <w:sz w:val="24"/>
          <w:szCs w:val="24"/>
        </w:rPr>
        <w:t xml:space="preserve"> en faveur des utilisateurs sur le territoire national.</w:t>
      </w:r>
    </w:p>
    <w:p w:rsidR="0053134E" w:rsidRDefault="0053134E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Cartographie</w:t>
      </w:r>
      <w:r w:rsidR="00DC7DB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des sources de rejets pour identifier et caractériser les sources </w:t>
      </w:r>
      <w:r w:rsidR="001C56DE">
        <w:rPr>
          <w:rFonts w:ascii="Times New Roman" w:hAnsi="Times New Roman" w:cs="Times New Roman"/>
          <w:sz w:val="24"/>
          <w:szCs w:val="24"/>
        </w:rPr>
        <w:t xml:space="preserve">majeurs de Dioxines et </w:t>
      </w:r>
      <w:proofErr w:type="gramStart"/>
      <w:r w:rsidR="001C56DE">
        <w:rPr>
          <w:rFonts w:ascii="Times New Roman" w:hAnsi="Times New Roman" w:cs="Times New Roman"/>
          <w:sz w:val="24"/>
          <w:szCs w:val="24"/>
        </w:rPr>
        <w:t>Furannes;</w:t>
      </w:r>
      <w:proofErr w:type="gramEnd"/>
    </w:p>
    <w:p w:rsidR="0053134E" w:rsidRDefault="0053134E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Cerner la problématique des incendie de </w:t>
      </w:r>
      <w:proofErr w:type="gramStart"/>
      <w:r>
        <w:rPr>
          <w:rFonts w:ascii="Times New Roman" w:hAnsi="Times New Roman" w:cs="Times New Roman"/>
          <w:sz w:val="24"/>
          <w:szCs w:val="24"/>
        </w:rPr>
        <w:t>foret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134E" w:rsidRDefault="000F5F07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Promulguer</w:t>
      </w:r>
      <w:r w:rsidR="0053134E">
        <w:rPr>
          <w:rFonts w:ascii="Times New Roman" w:hAnsi="Times New Roman" w:cs="Times New Roman"/>
          <w:sz w:val="24"/>
          <w:szCs w:val="24"/>
        </w:rPr>
        <w:t xml:space="preserve"> la réglementation concernant les Dioxines/</w:t>
      </w:r>
      <w:proofErr w:type="gramStart"/>
      <w:r w:rsidR="0053134E">
        <w:rPr>
          <w:rFonts w:ascii="Times New Roman" w:hAnsi="Times New Roman" w:cs="Times New Roman"/>
          <w:sz w:val="24"/>
          <w:szCs w:val="24"/>
        </w:rPr>
        <w:t>Furannes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134E" w:rsidRDefault="000F5F07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Promouvoir</w:t>
      </w:r>
      <w:r w:rsidR="0053134E">
        <w:rPr>
          <w:rFonts w:ascii="Times New Roman" w:hAnsi="Times New Roman" w:cs="Times New Roman"/>
          <w:sz w:val="24"/>
          <w:szCs w:val="24"/>
        </w:rPr>
        <w:t xml:space="preserve"> l'utilisation de l'essence sans </w:t>
      </w:r>
      <w:proofErr w:type="gramStart"/>
      <w:r w:rsidR="0053134E">
        <w:rPr>
          <w:rFonts w:ascii="Times New Roman" w:hAnsi="Times New Roman" w:cs="Times New Roman"/>
          <w:sz w:val="24"/>
          <w:szCs w:val="24"/>
        </w:rPr>
        <w:t>plomb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134E" w:rsidRDefault="0053134E" w:rsidP="005313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Améliorer la </w:t>
      </w:r>
      <w:r w:rsidR="000F5F07">
        <w:rPr>
          <w:rFonts w:ascii="Times New Roman" w:hAnsi="Times New Roman" w:cs="Times New Roman"/>
          <w:sz w:val="24"/>
          <w:szCs w:val="24"/>
        </w:rPr>
        <w:t>gestion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gramStart"/>
      <w:r>
        <w:rPr>
          <w:rFonts w:ascii="Times New Roman" w:hAnsi="Times New Roman" w:cs="Times New Roman"/>
          <w:sz w:val="24"/>
          <w:szCs w:val="24"/>
        </w:rPr>
        <w:t>déchets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5F07" w:rsidRDefault="000F5F07" w:rsidP="000F5F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Recenser les meilleurs techniques disponibles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MTD</w:t>
      </w:r>
      <w:proofErr w:type="spellEnd"/>
      <w:r>
        <w:rPr>
          <w:rFonts w:ascii="Times New Roman" w:hAnsi="Times New Roman" w:cs="Times New Roman"/>
          <w:sz w:val="24"/>
          <w:szCs w:val="24"/>
        </w:rPr>
        <w:t>) et des meilleurs pratiques environnementales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>
        <w:rPr>
          <w:rFonts w:ascii="Times New Roman" w:hAnsi="Times New Roman" w:cs="Times New Roman"/>
          <w:sz w:val="24"/>
          <w:szCs w:val="24"/>
        </w:rPr>
        <w:t>) et les adopter selon les processus existants (Basse de données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5F07" w:rsidRDefault="000F5F07" w:rsidP="000F5F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Mettre en place un politique de recourir systématiquement aux </w:t>
      </w:r>
      <w:proofErr w:type="spellStart"/>
      <w:r>
        <w:rPr>
          <w:rFonts w:ascii="Times New Roman" w:hAnsi="Times New Roman" w:cs="Times New Roman"/>
          <w:sz w:val="24"/>
          <w:szCs w:val="24"/>
        </w:rPr>
        <w:t>MTD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MPE</w:t>
      </w:r>
      <w:proofErr w:type="spellEnd"/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7663" w:rsidRDefault="004C7663" w:rsidP="000F5F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Recherche et développement perfectionnement des chercheurs </w:t>
      </w:r>
      <w:r w:rsidR="00DC7DB7">
        <w:rPr>
          <w:rFonts w:ascii="Times New Roman" w:hAnsi="Times New Roman" w:cs="Times New Roman"/>
          <w:sz w:val="24"/>
          <w:szCs w:val="24"/>
        </w:rPr>
        <w:t xml:space="preserve">dans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DC7D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pécialités fines et l'</w:t>
      </w:r>
      <w:r w:rsidR="001C56DE">
        <w:rPr>
          <w:rFonts w:ascii="Times New Roman" w:hAnsi="Times New Roman" w:cs="Times New Roman"/>
          <w:sz w:val="24"/>
          <w:szCs w:val="24"/>
        </w:rPr>
        <w:t>analyse des dioxines/</w:t>
      </w:r>
      <w:proofErr w:type="gramStart"/>
      <w:r w:rsidR="001C56DE">
        <w:rPr>
          <w:rFonts w:ascii="Times New Roman" w:hAnsi="Times New Roman" w:cs="Times New Roman"/>
          <w:sz w:val="24"/>
          <w:szCs w:val="24"/>
        </w:rPr>
        <w:t>furannes;</w:t>
      </w:r>
      <w:proofErr w:type="gramEnd"/>
    </w:p>
    <w:p w:rsidR="004C7663" w:rsidRDefault="004C7663" w:rsidP="000F5F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 en place d'un laboratoire national de référence et de laboratoires régionaux en matière</w:t>
      </w:r>
      <w:r w:rsidR="001C56DE">
        <w:rPr>
          <w:rFonts w:ascii="Times New Roman" w:hAnsi="Times New Roman" w:cs="Times New Roman"/>
          <w:sz w:val="24"/>
          <w:szCs w:val="24"/>
        </w:rPr>
        <w:t xml:space="preserve"> d'analyse des </w:t>
      </w:r>
      <w:proofErr w:type="spellStart"/>
      <w:proofErr w:type="gramStart"/>
      <w:r w:rsidR="001C56DE">
        <w:rPr>
          <w:rFonts w:ascii="Times New Roman" w:hAnsi="Times New Roman" w:cs="Times New Roman"/>
          <w:sz w:val="24"/>
          <w:szCs w:val="24"/>
        </w:rPr>
        <w:t>Pop's</w:t>
      </w:r>
      <w:proofErr w:type="spellEnd"/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7663" w:rsidRPr="00217107" w:rsidRDefault="004C7663" w:rsidP="004C766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des sources de rejets</w:t>
      </w:r>
      <w:r w:rsidRPr="00217107">
        <w:rPr>
          <w:rFonts w:ascii="Times New Roman" w:hAnsi="Times New Roman" w:cs="Times New Roman"/>
          <w:sz w:val="24"/>
          <w:szCs w:val="24"/>
        </w:rPr>
        <w:t xml:space="preserve"> résultant d'une production non intentionne</w:t>
      </w:r>
      <w:r>
        <w:rPr>
          <w:rFonts w:ascii="Times New Roman" w:hAnsi="Times New Roman" w:cs="Times New Roman"/>
          <w:sz w:val="24"/>
          <w:szCs w:val="24"/>
        </w:rPr>
        <w:t xml:space="preserve">lle de Dioxines/Furannes et </w:t>
      </w:r>
      <w:proofErr w:type="gramStart"/>
      <w:r>
        <w:rPr>
          <w:rFonts w:ascii="Times New Roman" w:hAnsi="Times New Roman" w:cs="Times New Roman"/>
          <w:sz w:val="24"/>
          <w:szCs w:val="24"/>
        </w:rPr>
        <w:t>PCB;</w:t>
      </w:r>
      <w:proofErr w:type="gramEnd"/>
    </w:p>
    <w:p w:rsidR="004C7663" w:rsidRDefault="004C7663" w:rsidP="000F5F0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Mise en place d'une méthodologie pour la quantification et l'analyse des terres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contaminées</w:t>
      </w:r>
      <w:r w:rsidR="001C56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C7DB7" w:rsidRPr="004532E6" w:rsidRDefault="004C7663" w:rsidP="004532E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Recherche des alternatives p</w:t>
      </w:r>
      <w:r w:rsidR="001C56DE">
        <w:rPr>
          <w:rFonts w:ascii="Times New Roman" w:hAnsi="Times New Roman" w:cs="Times New Roman"/>
          <w:sz w:val="24"/>
          <w:szCs w:val="24"/>
        </w:rPr>
        <w:t>ossibles de remplacement du DDT;</w:t>
      </w:r>
    </w:p>
    <w:p w:rsidR="00DC7DB7" w:rsidRDefault="00DC7DB7" w:rsidP="006639E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9E3" w:rsidRPr="004861C6" w:rsidRDefault="006639E3" w:rsidP="0065789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Le Programme National de Gestion Intégrée des Déchet Ménagers (</w:t>
      </w:r>
      <w:proofErr w:type="spellStart"/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PNGIDM</w:t>
      </w:r>
      <w:proofErr w:type="spellEnd"/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° </w:t>
      </w:r>
      <w:proofErr w:type="gramStart"/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2008:</w:t>
      </w:r>
      <w:proofErr w:type="gramEnd"/>
    </w:p>
    <w:p w:rsidR="000F5F07" w:rsidRDefault="004861C6" w:rsidP="006639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Elaboration de schéma direc</w:t>
      </w:r>
      <w:r w:rsidR="006639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eurs de gestion des déchets</w:t>
      </w:r>
      <w:r w:rsidR="00663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9E3">
        <w:rPr>
          <w:rFonts w:ascii="Times New Roman" w:hAnsi="Times New Roman" w:cs="Times New Roman"/>
          <w:sz w:val="24"/>
          <w:szCs w:val="24"/>
        </w:rPr>
        <w:t>ménagers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63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E3" w:rsidRDefault="006639E3" w:rsidP="006639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Réhabilitation des décharges </w:t>
      </w:r>
      <w:proofErr w:type="gramStart"/>
      <w:r>
        <w:rPr>
          <w:rFonts w:ascii="Times New Roman" w:hAnsi="Times New Roman" w:cs="Times New Roman"/>
          <w:sz w:val="24"/>
          <w:szCs w:val="24"/>
        </w:rPr>
        <w:t>sauvages</w:t>
      </w:r>
      <w:r w:rsidR="004861C6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9E3" w:rsidRDefault="006639E3" w:rsidP="006639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Réalis</w:t>
      </w:r>
      <w:r w:rsidR="004861C6">
        <w:rPr>
          <w:rFonts w:ascii="Times New Roman" w:hAnsi="Times New Roman" w:cs="Times New Roman"/>
          <w:sz w:val="24"/>
          <w:szCs w:val="24"/>
        </w:rPr>
        <w:t>ation des centres d'enfouissement.</w:t>
      </w:r>
    </w:p>
    <w:p w:rsidR="004861C6" w:rsidRDefault="004861C6" w:rsidP="004861C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1C6" w:rsidRPr="004861C6" w:rsidRDefault="004861C6" w:rsidP="006578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Le plan National de Gestion des </w:t>
      </w:r>
      <w:r w:rsidR="00792D4B"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déchets</w:t>
      </w:r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spéciaux </w:t>
      </w:r>
      <w:proofErr w:type="gramStart"/>
      <w:r w:rsidRPr="004861C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Dangereux:</w:t>
      </w:r>
      <w:proofErr w:type="gramEnd"/>
    </w:p>
    <w:p w:rsidR="004861C6" w:rsidRDefault="004861C6" w:rsidP="004861C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D4B">
        <w:rPr>
          <w:rFonts w:ascii="Times New Roman" w:hAnsi="Times New Roman" w:cs="Times New Roman"/>
          <w:b/>
          <w:sz w:val="24"/>
          <w:szCs w:val="24"/>
        </w:rPr>
        <w:t xml:space="preserve">Le cadastre national des déchets spéciaux qui a </w:t>
      </w:r>
      <w:proofErr w:type="gramStart"/>
      <w:r w:rsidRPr="00792D4B">
        <w:rPr>
          <w:rFonts w:ascii="Times New Roman" w:hAnsi="Times New Roman" w:cs="Times New Roman"/>
          <w:b/>
          <w:sz w:val="24"/>
          <w:szCs w:val="24"/>
        </w:rPr>
        <w:t>permis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C6" w:rsidRDefault="004861C6" w:rsidP="004861C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quantification des déchets générés, stockés, valorisé ou traités</w:t>
      </w:r>
    </w:p>
    <w:p w:rsidR="004861C6" w:rsidRDefault="004861C6" w:rsidP="004861C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L'identification des générateurs de déchets spéciaux (Industrie métallurgique et minière, industrie pétrochimique et les activités de transport et de stockage des hydrocarbures)</w:t>
      </w:r>
    </w:p>
    <w:p w:rsidR="004861C6" w:rsidRDefault="004861C6" w:rsidP="004861C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répartition géographique des déchets spéciaux par wilaya et par région.</w:t>
      </w:r>
    </w:p>
    <w:p w:rsidR="004861C6" w:rsidRPr="0053134E" w:rsidRDefault="004861C6" w:rsidP="004861C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17107" w:rsidRPr="00657891" w:rsidRDefault="00E05951" w:rsidP="006578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578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Renforcement du cadre législatif et réglementaire</w:t>
      </w:r>
    </w:p>
    <w:p w:rsidR="00E05951" w:rsidRPr="00E05951" w:rsidRDefault="00E05951" w:rsidP="00AC34A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51">
        <w:rPr>
          <w:rFonts w:ascii="Times New Roman" w:hAnsi="Times New Roman" w:cs="Times New Roman"/>
          <w:sz w:val="24"/>
          <w:szCs w:val="24"/>
        </w:rPr>
        <w:t xml:space="preserve">La </w:t>
      </w:r>
      <w:r w:rsidRPr="00E05951">
        <w:rPr>
          <w:rFonts w:ascii="Times New Roman" w:hAnsi="Times New Roman" w:cs="Times New Roman"/>
          <w:b/>
          <w:sz w:val="24"/>
          <w:szCs w:val="24"/>
        </w:rPr>
        <w:t>loi du 12/12/2001</w:t>
      </w:r>
      <w:r w:rsidRPr="00E05951">
        <w:rPr>
          <w:rFonts w:ascii="Times New Roman" w:hAnsi="Times New Roman" w:cs="Times New Roman"/>
          <w:sz w:val="24"/>
          <w:szCs w:val="24"/>
        </w:rPr>
        <w:t xml:space="preserve"> relative à la </w:t>
      </w:r>
      <w:proofErr w:type="gramStart"/>
      <w:r w:rsidRPr="00E05951">
        <w:rPr>
          <w:rFonts w:ascii="Times New Roman" w:hAnsi="Times New Roman" w:cs="Times New Roman"/>
          <w:sz w:val="24"/>
          <w:szCs w:val="24"/>
        </w:rPr>
        <w:t>gestion ,</w:t>
      </w:r>
      <w:proofErr w:type="gramEnd"/>
      <w:r w:rsidRPr="00E05951">
        <w:rPr>
          <w:rFonts w:ascii="Times New Roman" w:hAnsi="Times New Roman" w:cs="Times New Roman"/>
          <w:sz w:val="24"/>
          <w:szCs w:val="24"/>
        </w:rPr>
        <w:t xml:space="preserve"> au contrôle et à l'élimination des déchets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5951" w:rsidRPr="00E05951" w:rsidRDefault="00E05951" w:rsidP="00AC34AB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51">
        <w:rPr>
          <w:rFonts w:ascii="Times New Roman" w:hAnsi="Times New Roman" w:cs="Times New Roman"/>
          <w:sz w:val="24"/>
          <w:szCs w:val="24"/>
        </w:rPr>
        <w:t xml:space="preserve">La </w:t>
      </w:r>
      <w:r w:rsidRPr="00E05951">
        <w:rPr>
          <w:rFonts w:ascii="Times New Roman" w:hAnsi="Times New Roman" w:cs="Times New Roman"/>
          <w:b/>
          <w:sz w:val="24"/>
          <w:szCs w:val="24"/>
        </w:rPr>
        <w:t>loi de la 19/07/2003</w:t>
      </w:r>
      <w:r w:rsidRPr="00E05951">
        <w:rPr>
          <w:rFonts w:ascii="Times New Roman" w:hAnsi="Times New Roman" w:cs="Times New Roman"/>
          <w:sz w:val="24"/>
          <w:szCs w:val="24"/>
        </w:rPr>
        <w:t xml:space="preserve"> relative à la protection de l'environnement dans le cadre du développement </w:t>
      </w:r>
      <w:proofErr w:type="gramStart"/>
      <w:r w:rsidRPr="00E05951">
        <w:rPr>
          <w:rFonts w:ascii="Times New Roman" w:hAnsi="Times New Roman" w:cs="Times New Roman"/>
          <w:sz w:val="24"/>
          <w:szCs w:val="24"/>
        </w:rPr>
        <w:t>durable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7562A" w:rsidRDefault="00FB0231" w:rsidP="00FB0231">
      <w:pPr>
        <w:pStyle w:val="a3"/>
        <w:spacing w:line="360" w:lineRule="auto"/>
        <w:ind w:left="16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68">
        <w:rPr>
          <w:rFonts w:ascii="Times New Roman" w:hAnsi="Times New Roman" w:cs="Times New Roman"/>
          <w:sz w:val="24"/>
          <w:szCs w:val="24"/>
        </w:rPr>
        <w:t xml:space="preserve"> </w:t>
      </w:r>
      <w:r w:rsidR="00AF55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62A" w:rsidRPr="00657891" w:rsidRDefault="00B84EDF" w:rsidP="00657891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65789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Groupes cibles, Etablissement recevant du public</w:t>
      </w:r>
    </w:p>
    <w:p w:rsidR="00B84EDF" w:rsidRPr="00B84EDF" w:rsidRDefault="00B84EDF" w:rsidP="00B84ED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DF">
        <w:rPr>
          <w:rFonts w:ascii="Times New Roman" w:hAnsi="Times New Roman" w:cs="Times New Roman"/>
          <w:sz w:val="24"/>
          <w:szCs w:val="24"/>
        </w:rPr>
        <w:t xml:space="preserve">Etablissements scolaires et universitaires, établissement de santé, services administratifs, établissements culturels, hôtels, établissements </w:t>
      </w:r>
      <w:proofErr w:type="gramStart"/>
      <w:r w:rsidRPr="00B84EDF">
        <w:rPr>
          <w:rFonts w:ascii="Times New Roman" w:hAnsi="Times New Roman" w:cs="Times New Roman"/>
          <w:sz w:val="24"/>
          <w:szCs w:val="24"/>
        </w:rPr>
        <w:t>touristiques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4EDF" w:rsidRPr="00B84EDF" w:rsidRDefault="00B84EDF" w:rsidP="00B84ED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DF">
        <w:rPr>
          <w:rFonts w:ascii="Times New Roman" w:hAnsi="Times New Roman" w:cs="Times New Roman"/>
          <w:sz w:val="24"/>
          <w:szCs w:val="24"/>
        </w:rPr>
        <w:t>Infrastructures hydrauliques de mobilisation, pompage, production et distribution de l'eau, établissements agricoles</w:t>
      </w:r>
    </w:p>
    <w:p w:rsidR="00B84EDF" w:rsidRPr="00B84EDF" w:rsidRDefault="00B84EDF" w:rsidP="00B84EDF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EDF">
        <w:rPr>
          <w:rFonts w:ascii="Times New Roman" w:hAnsi="Times New Roman" w:cs="Times New Roman"/>
          <w:sz w:val="24"/>
          <w:szCs w:val="24"/>
        </w:rPr>
        <w:t xml:space="preserve">Stocks majeurs de déchets tel </w:t>
      </w:r>
      <w:proofErr w:type="gramStart"/>
      <w:r w:rsidRPr="00B84EDF">
        <w:rPr>
          <w:rFonts w:ascii="Times New Roman" w:hAnsi="Times New Roman" w:cs="Times New Roman"/>
          <w:sz w:val="24"/>
          <w:szCs w:val="24"/>
        </w:rPr>
        <w:t>le dépôts</w:t>
      </w:r>
      <w:proofErr w:type="gramEnd"/>
      <w:r w:rsidRPr="00B84EDF">
        <w:rPr>
          <w:rFonts w:ascii="Times New Roman" w:hAnsi="Times New Roman" w:cs="Times New Roman"/>
          <w:sz w:val="24"/>
          <w:szCs w:val="24"/>
        </w:rPr>
        <w:t xml:space="preserve"> de Laghouat</w:t>
      </w:r>
    </w:p>
    <w:p w:rsidR="00A7562A" w:rsidRPr="004532E6" w:rsidRDefault="00B84EDF" w:rsidP="004532E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2E6">
        <w:rPr>
          <w:rFonts w:ascii="Times New Roman" w:hAnsi="Times New Roman" w:cs="Times New Roman"/>
          <w:sz w:val="24"/>
          <w:szCs w:val="24"/>
        </w:rPr>
        <w:t xml:space="preserve">Infrastructures de la défense </w:t>
      </w:r>
      <w:proofErr w:type="gramStart"/>
      <w:r w:rsidRPr="004532E6">
        <w:rPr>
          <w:rFonts w:ascii="Times New Roman" w:hAnsi="Times New Roman" w:cs="Times New Roman"/>
          <w:sz w:val="24"/>
          <w:szCs w:val="24"/>
        </w:rPr>
        <w:t>national</w:t>
      </w:r>
      <w:proofErr w:type="gramEnd"/>
      <w:r w:rsidRPr="004532E6">
        <w:rPr>
          <w:rFonts w:ascii="Times New Roman" w:hAnsi="Times New Roman" w:cs="Times New Roman"/>
          <w:sz w:val="24"/>
          <w:szCs w:val="24"/>
        </w:rPr>
        <w:t>.</w:t>
      </w:r>
    </w:p>
    <w:sectPr w:rsidR="00A7562A" w:rsidRPr="004532E6" w:rsidSect="00493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2C" w:rsidRDefault="0082182C" w:rsidP="00AF5526">
      <w:pPr>
        <w:spacing w:after="0" w:line="240" w:lineRule="auto"/>
      </w:pPr>
      <w:r>
        <w:separator/>
      </w:r>
    </w:p>
  </w:endnote>
  <w:endnote w:type="continuationSeparator" w:id="0">
    <w:p w:rsidR="0082182C" w:rsidRDefault="0082182C" w:rsidP="00AF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594815"/>
      <w:docPartObj>
        <w:docPartGallery w:val="Page Numbers (Bottom of Page)"/>
        <w:docPartUnique/>
      </w:docPartObj>
    </w:sdtPr>
    <w:sdtContent>
      <w:p w:rsidR="004532E6" w:rsidRDefault="004532E6">
        <w:pPr>
          <w:pStyle w:val="a5"/>
          <w:jc w:val="center"/>
        </w:pPr>
        <w:fldSimple w:instr=" PAGE   \* MERGEFORMAT ">
          <w:r w:rsidRPr="004532E6">
            <w:rPr>
              <w:rFonts w:cs="Calibri"/>
              <w:noProof/>
              <w:lang w:val="ar-SA"/>
            </w:rPr>
            <w:t>1</w:t>
          </w:r>
        </w:fldSimple>
      </w:p>
    </w:sdtContent>
  </w:sdt>
  <w:p w:rsidR="004532E6" w:rsidRDefault="004532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2C" w:rsidRDefault="0082182C" w:rsidP="00AF5526">
      <w:pPr>
        <w:spacing w:after="0" w:line="240" w:lineRule="auto"/>
      </w:pPr>
      <w:r>
        <w:separator/>
      </w:r>
    </w:p>
  </w:footnote>
  <w:footnote w:type="continuationSeparator" w:id="0">
    <w:p w:rsidR="0082182C" w:rsidRDefault="0082182C" w:rsidP="00AF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E6" w:rsidRDefault="004532E6" w:rsidP="004532E6">
    <w:pPr>
      <w:pStyle w:val="a4"/>
    </w:pPr>
    <w:proofErr w:type="gramStart"/>
    <w:r>
      <w:t>Niveau:</w:t>
    </w:r>
    <w:proofErr w:type="gramEnd"/>
    <w:r>
      <w:t xml:space="preserve"> Troisième Année (3L_AE)</w:t>
    </w:r>
  </w:p>
  <w:p w:rsidR="004532E6" w:rsidRDefault="004532E6" w:rsidP="004532E6">
    <w:pPr>
      <w:pStyle w:val="a4"/>
    </w:pPr>
    <w:proofErr w:type="gramStart"/>
    <w:r>
      <w:t>Spécialité:</w:t>
    </w:r>
    <w:proofErr w:type="gramEnd"/>
    <w:r>
      <w:t xml:space="preserve"> Agro écologie</w:t>
    </w:r>
  </w:p>
  <w:p w:rsidR="004532E6" w:rsidRDefault="004532E6" w:rsidP="004532E6">
    <w:pPr>
      <w:pStyle w:val="a4"/>
    </w:pPr>
    <w:proofErr w:type="gramStart"/>
    <w:r>
      <w:t>Module:</w:t>
    </w:r>
    <w:proofErr w:type="gramEnd"/>
    <w:r>
      <w:t xml:space="preserve"> Réglementation et législation</w:t>
    </w:r>
  </w:p>
  <w:p w:rsidR="00AF5526" w:rsidRDefault="00AF55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F40"/>
    <w:multiLevelType w:val="hybridMultilevel"/>
    <w:tmpl w:val="113462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83396"/>
    <w:multiLevelType w:val="hybridMultilevel"/>
    <w:tmpl w:val="83AE0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6004"/>
    <w:multiLevelType w:val="hybridMultilevel"/>
    <w:tmpl w:val="61A2DAE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CF3EE7"/>
    <w:multiLevelType w:val="hybridMultilevel"/>
    <w:tmpl w:val="B7408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677C"/>
    <w:multiLevelType w:val="hybridMultilevel"/>
    <w:tmpl w:val="D13C6C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83E54"/>
    <w:multiLevelType w:val="hybridMultilevel"/>
    <w:tmpl w:val="274C0D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85906"/>
    <w:multiLevelType w:val="hybridMultilevel"/>
    <w:tmpl w:val="E1F05758"/>
    <w:lvl w:ilvl="0" w:tplc="040C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>
    <w:nsid w:val="4FF528CC"/>
    <w:multiLevelType w:val="hybridMultilevel"/>
    <w:tmpl w:val="E1C874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10CFA"/>
    <w:multiLevelType w:val="hybridMultilevel"/>
    <w:tmpl w:val="19E491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886ECE"/>
    <w:multiLevelType w:val="hybridMultilevel"/>
    <w:tmpl w:val="1E46D57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D60F23"/>
    <w:multiLevelType w:val="hybridMultilevel"/>
    <w:tmpl w:val="CD744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901B0"/>
    <w:multiLevelType w:val="hybridMultilevel"/>
    <w:tmpl w:val="E6ACD354"/>
    <w:lvl w:ilvl="0" w:tplc="040C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>
    <w:nsid w:val="7D9D5138"/>
    <w:multiLevelType w:val="hybridMultilevel"/>
    <w:tmpl w:val="71CC1F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865"/>
    <w:rsid w:val="000F5F07"/>
    <w:rsid w:val="001C56DE"/>
    <w:rsid w:val="00217107"/>
    <w:rsid w:val="003B452F"/>
    <w:rsid w:val="004532E6"/>
    <w:rsid w:val="004861C6"/>
    <w:rsid w:val="004939B4"/>
    <w:rsid w:val="004C7663"/>
    <w:rsid w:val="004F253E"/>
    <w:rsid w:val="0053134E"/>
    <w:rsid w:val="00564934"/>
    <w:rsid w:val="00590125"/>
    <w:rsid w:val="005D0823"/>
    <w:rsid w:val="00635D0A"/>
    <w:rsid w:val="00657891"/>
    <w:rsid w:val="006639E3"/>
    <w:rsid w:val="00792D4B"/>
    <w:rsid w:val="0082182C"/>
    <w:rsid w:val="00913E0E"/>
    <w:rsid w:val="009B2865"/>
    <w:rsid w:val="00A7562A"/>
    <w:rsid w:val="00AC34AB"/>
    <w:rsid w:val="00AF5526"/>
    <w:rsid w:val="00B84EDF"/>
    <w:rsid w:val="00C8424E"/>
    <w:rsid w:val="00CB101C"/>
    <w:rsid w:val="00D924E7"/>
    <w:rsid w:val="00DC7DB7"/>
    <w:rsid w:val="00E00CAC"/>
    <w:rsid w:val="00E05951"/>
    <w:rsid w:val="00F42D68"/>
    <w:rsid w:val="00F8426A"/>
    <w:rsid w:val="00F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2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F5526"/>
  </w:style>
  <w:style w:type="paragraph" w:styleId="a5">
    <w:name w:val="footer"/>
    <w:basedOn w:val="a"/>
    <w:link w:val="Char0"/>
    <w:uiPriority w:val="99"/>
    <w:unhideWhenUsed/>
    <w:rsid w:val="00A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F5526"/>
  </w:style>
  <w:style w:type="paragraph" w:styleId="a6">
    <w:name w:val="Balloon Text"/>
    <w:basedOn w:val="a"/>
    <w:link w:val="Char1"/>
    <w:uiPriority w:val="99"/>
    <w:semiHidden/>
    <w:unhideWhenUsed/>
    <w:rsid w:val="0045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53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40F5A"/>
    <w:rsid w:val="00540F5A"/>
    <w:rsid w:val="00C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D87540740940CFA0FE836E4A5696EC">
    <w:name w:val="2ED87540740940CFA0FE836E4A5696EC"/>
    <w:rsid w:val="00540F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elite7300</dc:creator>
  <cp:lastModifiedBy>AspireE</cp:lastModifiedBy>
  <cp:revision>12</cp:revision>
  <dcterms:created xsi:type="dcterms:W3CDTF">2020-04-28T18:58:00Z</dcterms:created>
  <dcterms:modified xsi:type="dcterms:W3CDTF">2020-04-29T16:15:00Z</dcterms:modified>
</cp:coreProperties>
</file>