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D6" w:rsidRDefault="00F64DD6"/>
    <w:p w:rsidR="00D339AE" w:rsidRDefault="00D339AE" w:rsidP="00D339A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3</w:t>
      </w:r>
      <w:r w:rsidRPr="00D339AE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0CAA">
        <w:rPr>
          <w:rFonts w:asciiTheme="majorBidi" w:hAnsiTheme="majorBidi" w:cstheme="majorBidi"/>
          <w:sz w:val="28"/>
          <w:szCs w:val="28"/>
        </w:rPr>
        <w:t xml:space="preserve"> LICENCE </w:t>
      </w:r>
      <w:r>
        <w:rPr>
          <w:rFonts w:asciiTheme="majorBidi" w:hAnsiTheme="majorBidi" w:cstheme="majorBidi"/>
          <w:sz w:val="28"/>
          <w:szCs w:val="28"/>
        </w:rPr>
        <w:t>BIOLOGIE ET PHYSIOLOGIE VEGETALE (</w:t>
      </w:r>
      <w:r w:rsidR="00130CAA">
        <w:rPr>
          <w:rFonts w:asciiTheme="majorBidi" w:hAnsiTheme="majorBidi" w:cstheme="majorBidi"/>
          <w:sz w:val="28"/>
          <w:szCs w:val="28"/>
        </w:rPr>
        <w:t>3</w:t>
      </w:r>
      <w:r w:rsidR="00130CAA" w:rsidRPr="00D339AE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 w:rsidR="00130CAA">
        <w:rPr>
          <w:rFonts w:asciiTheme="majorBidi" w:hAnsiTheme="majorBidi" w:cstheme="majorBidi"/>
          <w:sz w:val="28"/>
          <w:szCs w:val="28"/>
        </w:rPr>
        <w:t xml:space="preserve">  L </w:t>
      </w:r>
      <w:r>
        <w:rPr>
          <w:rFonts w:asciiTheme="majorBidi" w:hAnsiTheme="majorBidi" w:cstheme="majorBidi"/>
          <w:sz w:val="28"/>
          <w:szCs w:val="28"/>
        </w:rPr>
        <w:t>BPV)</w:t>
      </w:r>
    </w:p>
    <w:p w:rsidR="00F112FE" w:rsidRDefault="00B63358" w:rsidP="00B633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C</w:t>
      </w:r>
      <w:r w:rsidR="00D339AE">
        <w:rPr>
          <w:rFonts w:asciiTheme="majorBidi" w:hAnsiTheme="majorBidi" w:cstheme="majorBidi"/>
          <w:sz w:val="28"/>
          <w:szCs w:val="28"/>
        </w:rPr>
        <w:t xml:space="preserve">ulture des </w:t>
      </w:r>
      <w:r w:rsidR="00736835">
        <w:rPr>
          <w:rFonts w:asciiTheme="majorBidi" w:hAnsiTheme="majorBidi" w:cstheme="majorBidi"/>
          <w:sz w:val="28"/>
          <w:szCs w:val="28"/>
        </w:rPr>
        <w:t xml:space="preserve">tissus              </w:t>
      </w:r>
    </w:p>
    <w:p w:rsidR="00D339AE" w:rsidRDefault="00736835" w:rsidP="00021D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021D05" w:rsidRPr="00021D05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885825" cy="876300"/>
            <wp:effectExtent l="19050" t="0" r="9525" b="0"/>
            <wp:docPr id="19" name="Image 1" descr="http://technivit.pagesperso-orange.fr/images/dah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 descr="http://technivit.pagesperso-orange.fr/images/dah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835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85800" cy="876300"/>
            <wp:effectExtent l="19050" t="0" r="0" b="0"/>
            <wp:docPr id="1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3" cy="87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D05" w:rsidRPr="00021D05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619125" cy="883343"/>
            <wp:effectExtent l="19050" t="0" r="9525" b="0"/>
            <wp:docPr id="20" name="Image 3" descr="http://technivit.pagesperso-orange.fr/images/chrys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technivit.pagesperso-orange.fr/images/chrysan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9" cy="88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21D05" w:rsidRPr="00021D05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866775" cy="857250"/>
            <wp:effectExtent l="57150" t="38100" r="47625" b="19050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72" cy="85714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</w:p>
    <w:p w:rsidR="00D339AE" w:rsidRPr="005B40E1" w:rsidRDefault="005B40E1" w:rsidP="005B40E1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373A3C"/>
          <w:sz w:val="28"/>
          <w:szCs w:val="28"/>
          <w:lang w:eastAsia="fr-FR"/>
        </w:rPr>
      </w:pPr>
      <w:r w:rsidRPr="005B40E1">
        <w:rPr>
          <w:rFonts w:asciiTheme="majorBidi" w:eastAsia="Times New Roman" w:hAnsiTheme="majorBidi" w:cstheme="majorBidi"/>
          <w:b/>
          <w:bCs/>
          <w:color w:val="373A3C"/>
          <w:sz w:val="28"/>
          <w:szCs w:val="28"/>
          <w:lang w:eastAsia="fr-FR"/>
        </w:rPr>
        <w:t>1-Généralités sur la culture in vitro</w:t>
      </w:r>
    </w:p>
    <w:p w:rsidR="005B40E1" w:rsidRDefault="00A7181A" w:rsidP="00A7181A">
      <w:pPr>
        <w:rPr>
          <w:rFonts w:asciiTheme="majorBidi" w:hAnsiTheme="majorBidi" w:cstheme="majorBidi"/>
          <w:sz w:val="28"/>
          <w:szCs w:val="28"/>
        </w:rPr>
      </w:pPr>
      <w:r w:rsidRPr="00A7181A">
        <w:rPr>
          <w:rFonts w:asciiTheme="majorBidi" w:hAnsiTheme="majorBidi" w:cstheme="majorBidi"/>
          <w:b/>
          <w:bCs/>
          <w:sz w:val="28"/>
          <w:szCs w:val="28"/>
        </w:rPr>
        <w:t xml:space="preserve">La multiplication végétative </w:t>
      </w:r>
      <w:r w:rsidRPr="00A7181A">
        <w:rPr>
          <w:rFonts w:asciiTheme="majorBidi" w:hAnsiTheme="majorBidi" w:cstheme="majorBidi"/>
          <w:b/>
          <w:bCs/>
          <w:i/>
          <w:iCs/>
          <w:sz w:val="28"/>
          <w:szCs w:val="28"/>
        </w:rPr>
        <w:t>in vitro</w:t>
      </w:r>
      <w:r w:rsidR="005B40E1">
        <w:rPr>
          <w:rFonts w:asciiTheme="majorBidi" w:hAnsiTheme="majorBidi" w:cstheme="majorBidi"/>
          <w:sz w:val="28"/>
          <w:szCs w:val="28"/>
        </w:rPr>
        <w:t> </w:t>
      </w:r>
    </w:p>
    <w:p w:rsidR="00A7181A" w:rsidRDefault="00A7181A" w:rsidP="00A718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40E1">
        <w:rPr>
          <w:rFonts w:asciiTheme="majorBidi" w:hAnsiTheme="majorBidi" w:cstheme="majorBidi"/>
          <w:sz w:val="28"/>
          <w:szCs w:val="28"/>
        </w:rPr>
        <w:t>On</w:t>
      </w:r>
      <w:r>
        <w:rPr>
          <w:rFonts w:asciiTheme="majorBidi" w:hAnsiTheme="majorBidi" w:cstheme="majorBidi"/>
          <w:sz w:val="28"/>
          <w:szCs w:val="28"/>
        </w:rPr>
        <w:t xml:space="preserve"> appelle technique </w:t>
      </w:r>
      <w:r w:rsidRPr="00A7181A">
        <w:rPr>
          <w:rFonts w:asciiTheme="majorBidi" w:hAnsiTheme="majorBidi" w:cstheme="majorBidi"/>
          <w:i/>
          <w:iCs/>
          <w:sz w:val="28"/>
          <w:szCs w:val="28"/>
        </w:rPr>
        <w:t>in vitro</w:t>
      </w:r>
      <w:r>
        <w:rPr>
          <w:rFonts w:asciiTheme="majorBidi" w:hAnsiTheme="majorBidi" w:cstheme="majorBidi"/>
          <w:sz w:val="28"/>
          <w:szCs w:val="28"/>
        </w:rPr>
        <w:t>, un ensemble de méthodes faisant intervenir d’une part des éléments d’asepsie et d’autre part  impliquant la mise en place d’un environnement parfaitement contrôlé.</w:t>
      </w:r>
    </w:p>
    <w:p w:rsidR="005B40E1" w:rsidRDefault="00A7181A" w:rsidP="00A7181A">
      <w:pPr>
        <w:rPr>
          <w:rFonts w:asciiTheme="majorBidi" w:hAnsiTheme="majorBidi" w:cstheme="majorBidi"/>
          <w:sz w:val="28"/>
          <w:szCs w:val="28"/>
        </w:rPr>
      </w:pPr>
      <w:r w:rsidRPr="000D686A">
        <w:rPr>
          <w:rFonts w:asciiTheme="majorBidi" w:hAnsiTheme="majorBidi" w:cstheme="majorBidi"/>
          <w:b/>
          <w:bCs/>
          <w:sz w:val="28"/>
          <w:szCs w:val="28"/>
        </w:rPr>
        <w:t xml:space="preserve">La pratique de la multiplication végétative </w:t>
      </w:r>
      <w:r w:rsidRPr="000D686A">
        <w:rPr>
          <w:rFonts w:asciiTheme="majorBidi" w:hAnsiTheme="majorBidi" w:cstheme="majorBidi"/>
          <w:b/>
          <w:bCs/>
          <w:i/>
          <w:iCs/>
          <w:sz w:val="28"/>
          <w:szCs w:val="28"/>
        </w:rPr>
        <w:t>in vitro</w:t>
      </w:r>
      <w:r w:rsidR="005B40E1">
        <w:rPr>
          <w:rFonts w:asciiTheme="majorBidi" w:hAnsiTheme="majorBidi" w:cstheme="majorBidi"/>
          <w:sz w:val="28"/>
          <w:szCs w:val="28"/>
        </w:rPr>
        <w:t> </w:t>
      </w:r>
    </w:p>
    <w:p w:rsidR="00A7181A" w:rsidRDefault="00A7181A" w:rsidP="00A718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40E1">
        <w:rPr>
          <w:rFonts w:asciiTheme="majorBidi" w:hAnsiTheme="majorBidi" w:cstheme="majorBidi"/>
          <w:sz w:val="28"/>
          <w:szCs w:val="28"/>
        </w:rPr>
        <w:t>Cette</w:t>
      </w:r>
      <w:r>
        <w:rPr>
          <w:rFonts w:asciiTheme="majorBidi" w:hAnsiTheme="majorBidi" w:cstheme="majorBidi"/>
          <w:sz w:val="28"/>
          <w:szCs w:val="28"/>
        </w:rPr>
        <w:t xml:space="preserve"> technique est basée sur la</w:t>
      </w:r>
      <w:r w:rsidR="00D05D0F">
        <w:rPr>
          <w:rFonts w:asciiTheme="majorBidi" w:hAnsiTheme="majorBidi" w:cstheme="majorBidi"/>
          <w:sz w:val="28"/>
          <w:szCs w:val="28"/>
        </w:rPr>
        <w:t xml:space="preserve"> dédifférenciation et la</w:t>
      </w:r>
      <w:r>
        <w:rPr>
          <w:rFonts w:asciiTheme="majorBidi" w:hAnsiTheme="majorBidi" w:cstheme="majorBidi"/>
          <w:sz w:val="28"/>
          <w:szCs w:val="28"/>
        </w:rPr>
        <w:t xml:space="preserve"> totipotence des cellules végétales lorsque le fragment de la plante prélevé (explant) est placé dans de bonnes conditions de culture, il reconstitue la morphologie de l’individu globale.</w:t>
      </w:r>
    </w:p>
    <w:p w:rsidR="00A7181A" w:rsidRDefault="00D05D0F" w:rsidP="00D05D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 la totipotence cellulaire : toute cellule végétale est capable de régénérer un autre individu identique à celui dont il est issu.</w:t>
      </w:r>
    </w:p>
    <w:p w:rsidR="00D05D0F" w:rsidRDefault="00D05D0F" w:rsidP="00D05D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 la dédifférenciation cellulaire : les grandes cellules différenciés (dans les feuilles, les tiges les pétales, … etc.) perdent leurs vacuoles, leurs noyaux se diviser activement et donnent de nombreuse vacuoles, leurs noyaux se diviser activement et de nombreuses et très petites cellules méristèmatiques apparaitre.</w:t>
      </w:r>
    </w:p>
    <w:p w:rsidR="00D05D0F" w:rsidRDefault="00D05D0F" w:rsidP="00D05D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Une cellule </w:t>
      </w:r>
      <w:r w:rsidR="000D686A">
        <w:rPr>
          <w:rFonts w:asciiTheme="majorBidi" w:hAnsiTheme="majorBidi" w:cstheme="majorBidi"/>
          <w:sz w:val="28"/>
          <w:szCs w:val="28"/>
        </w:rPr>
        <w:t>différenciée</w:t>
      </w:r>
      <w:r>
        <w:rPr>
          <w:rFonts w:asciiTheme="majorBidi" w:hAnsiTheme="majorBidi" w:cstheme="majorBidi"/>
          <w:sz w:val="28"/>
          <w:szCs w:val="28"/>
        </w:rPr>
        <w:t xml:space="preserve"> peut </w:t>
      </w:r>
      <w:r w:rsidR="000D686A">
        <w:rPr>
          <w:rFonts w:asciiTheme="majorBidi" w:hAnsiTheme="majorBidi" w:cstheme="majorBidi"/>
          <w:sz w:val="28"/>
          <w:szCs w:val="28"/>
        </w:rPr>
        <w:t>alors évoluer dans toutes sortes de directions.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D686A" w:rsidRPr="00E01A50" w:rsidRDefault="000455B3" w:rsidP="000455B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01A50">
        <w:rPr>
          <w:rFonts w:asciiTheme="majorBidi" w:hAnsiTheme="majorBidi" w:cstheme="majorBidi"/>
          <w:b/>
          <w:bCs/>
          <w:sz w:val="28"/>
          <w:szCs w:val="28"/>
        </w:rPr>
        <w:t>Avantage de la multiplication in vitro :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Réduction du matériel de départ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La minimisation des surfaces de culture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La prolifération des plantes de type exponentiel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La production d’un explant sain, des plantes saines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Le sauvetage d’embryon interspécifique produit lors de croisement entre espèces distinctes</w:t>
      </w:r>
    </w:p>
    <w:p w:rsidR="000455B3" w:rsidRPr="00E7125E" w:rsidRDefault="000455B3" w:rsidP="00E7125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lastRenderedPageBreak/>
        <w:t>L’indépendance  aux saisons et les circonstances climatiques et l’échelonnement de la production tout  au long de l’année.</w:t>
      </w:r>
    </w:p>
    <w:p w:rsidR="00E7125E" w:rsidRPr="008F0353" w:rsidRDefault="000455B3" w:rsidP="008F035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>La conservation sur un espace réduit.</w:t>
      </w:r>
    </w:p>
    <w:p w:rsidR="000455B3" w:rsidRPr="00E01A50" w:rsidRDefault="000455B3" w:rsidP="00E01A5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01A50">
        <w:rPr>
          <w:rFonts w:asciiTheme="majorBidi" w:hAnsiTheme="majorBidi" w:cstheme="majorBidi"/>
          <w:sz w:val="28"/>
          <w:szCs w:val="28"/>
        </w:rPr>
        <w:t xml:space="preserve">La création d’une banque de gènes sous forme de quelques plantules bien </w:t>
      </w:r>
      <w:r w:rsidR="0039374D" w:rsidRPr="00E01A50">
        <w:rPr>
          <w:rFonts w:asciiTheme="majorBidi" w:hAnsiTheme="majorBidi" w:cstheme="majorBidi"/>
          <w:sz w:val="28"/>
          <w:szCs w:val="28"/>
        </w:rPr>
        <w:t xml:space="preserve">développées </w:t>
      </w:r>
      <w:r w:rsidR="00E01A50" w:rsidRPr="00E01A50">
        <w:rPr>
          <w:rFonts w:asciiTheme="majorBidi" w:hAnsiTheme="majorBidi" w:cstheme="majorBidi"/>
          <w:sz w:val="28"/>
          <w:szCs w:val="28"/>
        </w:rPr>
        <w:t>maintenues le plus souvent a l’obscurité pour une durée de 3à5ans sans soins particuliers.</w:t>
      </w:r>
    </w:p>
    <w:p w:rsidR="00E01A50" w:rsidRDefault="00E01A50" w:rsidP="00E01A50">
      <w:pPr>
        <w:rPr>
          <w:rFonts w:asciiTheme="majorBidi" w:hAnsiTheme="majorBidi" w:cstheme="majorBidi"/>
          <w:sz w:val="28"/>
          <w:szCs w:val="28"/>
        </w:rPr>
      </w:pPr>
    </w:p>
    <w:p w:rsidR="00E7125E" w:rsidRDefault="00E01A50" w:rsidP="00E712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01A50">
        <w:rPr>
          <w:rFonts w:asciiTheme="majorBidi" w:hAnsiTheme="majorBidi" w:cstheme="majorBidi"/>
          <w:b/>
          <w:bCs/>
          <w:sz w:val="28"/>
          <w:szCs w:val="28"/>
        </w:rPr>
        <w:t>Inconvénients de la multiplication in vitro </w:t>
      </w:r>
    </w:p>
    <w:p w:rsidR="00E01A50" w:rsidRPr="00E7125E" w:rsidRDefault="00E7125E" w:rsidP="00E712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</w:t>
      </w:r>
      <w:r w:rsidR="00E01A50">
        <w:rPr>
          <w:rFonts w:asciiTheme="majorBidi" w:hAnsiTheme="majorBidi" w:cstheme="majorBidi"/>
          <w:sz w:val="28"/>
          <w:szCs w:val="28"/>
        </w:rPr>
        <w:t xml:space="preserve">D’ordre économique :  </w:t>
      </w:r>
    </w:p>
    <w:p w:rsidR="00E01A50" w:rsidRPr="00E7125E" w:rsidRDefault="00E01A50" w:rsidP="00E712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7125E">
        <w:rPr>
          <w:rFonts w:asciiTheme="majorBidi" w:hAnsiTheme="majorBidi" w:cstheme="majorBidi"/>
          <w:sz w:val="28"/>
          <w:szCs w:val="28"/>
        </w:rPr>
        <w:t>Le cout de la production limite l’usage de la micropropagation pour toutes les espèces.</w:t>
      </w:r>
    </w:p>
    <w:p w:rsidR="00E01A50" w:rsidRPr="00E7125E" w:rsidRDefault="00E01A50" w:rsidP="00E7125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7125E">
        <w:rPr>
          <w:rFonts w:asciiTheme="majorBidi" w:hAnsiTheme="majorBidi" w:cstheme="majorBidi"/>
          <w:sz w:val="28"/>
          <w:szCs w:val="28"/>
        </w:rPr>
        <w:t xml:space="preserve">La quantité de plants </w:t>
      </w:r>
      <w:proofErr w:type="gramStart"/>
      <w:r w:rsidRPr="00E7125E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E7125E">
        <w:rPr>
          <w:rFonts w:asciiTheme="majorBidi" w:hAnsiTheme="majorBidi" w:cstheme="majorBidi"/>
          <w:sz w:val="28"/>
          <w:szCs w:val="28"/>
        </w:rPr>
        <w:t xml:space="preserve"> produire par an et par unité est un paramètre a considérer pour la rentabilité du laboratoire ; il convient de tenir compte des possibilité du marché en ca de production non contrôlée, la saturation est rapide.</w:t>
      </w:r>
    </w:p>
    <w:p w:rsidR="00E7125E" w:rsidRDefault="00E7125E" w:rsidP="00E01A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**D’ordre physiologique :</w:t>
      </w:r>
    </w:p>
    <w:p w:rsidR="00E7125E" w:rsidRPr="008F0353" w:rsidRDefault="00E7125E" w:rsidP="008F035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F0353">
        <w:rPr>
          <w:rFonts w:asciiTheme="majorBidi" w:hAnsiTheme="majorBidi" w:cstheme="majorBidi"/>
          <w:sz w:val="28"/>
          <w:szCs w:val="28"/>
        </w:rPr>
        <w:t>A priori, toutes les plantes peuvent être micro propagées mais avec plus ou moins de difficultés, des progrès restent à faire.</w:t>
      </w:r>
    </w:p>
    <w:p w:rsidR="00E7125E" w:rsidRPr="008F0353" w:rsidRDefault="00E7125E" w:rsidP="008F035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F0353">
        <w:rPr>
          <w:rFonts w:asciiTheme="majorBidi" w:hAnsiTheme="majorBidi" w:cstheme="majorBidi"/>
          <w:sz w:val="28"/>
          <w:szCs w:val="28"/>
        </w:rPr>
        <w:t xml:space="preserve">En phase de multiplication, il convient de limiter le nombre de subculture successive </w:t>
      </w:r>
      <w:r w:rsidR="00130CAA" w:rsidRPr="008F0353">
        <w:rPr>
          <w:rFonts w:asciiTheme="majorBidi" w:hAnsiTheme="majorBidi" w:cstheme="majorBidi"/>
          <w:sz w:val="28"/>
          <w:szCs w:val="28"/>
        </w:rPr>
        <w:t>à</w:t>
      </w:r>
      <w:r w:rsidRPr="008F0353">
        <w:rPr>
          <w:rFonts w:asciiTheme="majorBidi" w:hAnsiTheme="majorBidi" w:cstheme="majorBidi"/>
          <w:sz w:val="28"/>
          <w:szCs w:val="28"/>
        </w:rPr>
        <w:t xml:space="preserve"> partir de l’explant initiale.</w:t>
      </w:r>
    </w:p>
    <w:p w:rsidR="00E7125E" w:rsidRDefault="00E7125E" w:rsidP="00E01A50">
      <w:pPr>
        <w:rPr>
          <w:rFonts w:asciiTheme="majorBidi" w:hAnsiTheme="majorBidi" w:cstheme="majorBidi"/>
          <w:sz w:val="28"/>
          <w:szCs w:val="28"/>
        </w:rPr>
      </w:pPr>
    </w:p>
    <w:p w:rsidR="00E01A50" w:rsidRDefault="00E01A50" w:rsidP="00E01A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57F38" w:rsidRDefault="00C57F38" w:rsidP="008F0353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8F0353" w:rsidRDefault="00E01A50" w:rsidP="008F0353">
      <w:pPr>
        <w:shd w:val="clear" w:color="auto" w:fill="FFFFFF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E5BDE" w:rsidRPr="00DE5BDE">
        <w:rPr>
          <w:rFonts w:asciiTheme="majorBidi" w:hAnsiTheme="majorBidi" w:cstheme="majorBidi"/>
          <w:b/>
          <w:bCs/>
          <w:sz w:val="28"/>
          <w:szCs w:val="28"/>
        </w:rPr>
        <w:t>Les utilisations de la culture in vitro et la multiplication végétative in situ</w:t>
      </w:r>
    </w:p>
    <w:p w:rsidR="00DE5BDE" w:rsidRPr="00A67120" w:rsidRDefault="00DE5BDE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t>La multiplication d’espèces dont la reproduction</w:t>
      </w:r>
      <w:r w:rsidR="004C489A" w:rsidRPr="00A67120">
        <w:rPr>
          <w:rFonts w:asciiTheme="majorBidi" w:hAnsiTheme="majorBidi" w:cstheme="majorBidi"/>
          <w:sz w:val="28"/>
          <w:szCs w:val="28"/>
        </w:rPr>
        <w:t xml:space="preserve"> sexuée est impossible.</w:t>
      </w:r>
    </w:p>
    <w:p w:rsidR="004C489A" w:rsidRPr="00A67120" w:rsidRDefault="004C489A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t>Espèces qui ne fructifient pas en dehors de leurs climats d’origine (espèce exotique en climat tempéré).</w:t>
      </w:r>
    </w:p>
    <w:p w:rsidR="004C489A" w:rsidRPr="00A67120" w:rsidRDefault="004C489A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t>Espèce dioïque où un (1) seul sexe a été implanté.</w:t>
      </w:r>
    </w:p>
    <w:p w:rsidR="004C489A" w:rsidRPr="00A67120" w:rsidRDefault="004C489A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t xml:space="preserve">Espèce  dont on a </w:t>
      </w:r>
      <w:r w:rsidR="009F7894" w:rsidRPr="00A67120">
        <w:rPr>
          <w:rFonts w:asciiTheme="majorBidi" w:hAnsiTheme="majorBidi" w:cstheme="majorBidi"/>
          <w:sz w:val="28"/>
          <w:szCs w:val="28"/>
        </w:rPr>
        <w:t>sélectionné</w:t>
      </w:r>
      <w:r w:rsidRPr="00A67120">
        <w:rPr>
          <w:rFonts w:asciiTheme="majorBidi" w:hAnsiTheme="majorBidi" w:cstheme="majorBidi"/>
          <w:sz w:val="28"/>
          <w:szCs w:val="28"/>
        </w:rPr>
        <w:t xml:space="preserve"> des variétés </w:t>
      </w:r>
      <w:r w:rsidR="009F7894" w:rsidRPr="00A67120">
        <w:rPr>
          <w:rFonts w:asciiTheme="majorBidi" w:hAnsiTheme="majorBidi" w:cstheme="majorBidi"/>
          <w:sz w:val="28"/>
          <w:szCs w:val="28"/>
        </w:rPr>
        <w:t>sans graines ou dont la constitution  génétique interdit la multiplication sexuelle.</w:t>
      </w:r>
    </w:p>
    <w:p w:rsidR="009F7894" w:rsidRPr="00A67120" w:rsidRDefault="00A67120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t>Accélération de la production (exemple de la pomme de terre).</w:t>
      </w:r>
    </w:p>
    <w:p w:rsidR="00A67120" w:rsidRPr="00A67120" w:rsidRDefault="00A67120" w:rsidP="00A67120">
      <w:pPr>
        <w:pStyle w:val="Paragraphedeliste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A67120">
        <w:rPr>
          <w:rFonts w:asciiTheme="majorBidi" w:hAnsiTheme="majorBidi" w:cstheme="majorBidi"/>
          <w:sz w:val="28"/>
          <w:szCs w:val="28"/>
        </w:rPr>
        <w:lastRenderedPageBreak/>
        <w:t xml:space="preserve">Maintien de la constitution génétique et obtention d’un clone dans le cas de plante  </w:t>
      </w:r>
      <w:r w:rsidR="007F68A8" w:rsidRPr="00A67120">
        <w:rPr>
          <w:rFonts w:asciiTheme="majorBidi" w:hAnsiTheme="majorBidi" w:cstheme="majorBidi"/>
          <w:sz w:val="28"/>
          <w:szCs w:val="28"/>
        </w:rPr>
        <w:t>à</w:t>
      </w:r>
      <w:r w:rsidRPr="00A67120">
        <w:rPr>
          <w:rFonts w:asciiTheme="majorBidi" w:hAnsiTheme="majorBidi" w:cstheme="majorBidi"/>
          <w:sz w:val="28"/>
          <w:szCs w:val="28"/>
        </w:rPr>
        <w:t xml:space="preserve"> priorités intéressantes, elle permet aussi : voir les avantages de la culture </w:t>
      </w:r>
      <w:r w:rsidRPr="00A67120">
        <w:rPr>
          <w:rFonts w:asciiTheme="majorBidi" w:hAnsiTheme="majorBidi" w:cstheme="majorBidi"/>
          <w:i/>
          <w:iCs/>
          <w:sz w:val="28"/>
          <w:szCs w:val="28"/>
        </w:rPr>
        <w:t>in vitro</w:t>
      </w:r>
      <w:r w:rsidRPr="00A67120">
        <w:rPr>
          <w:rFonts w:asciiTheme="majorBidi" w:hAnsiTheme="majorBidi" w:cstheme="majorBidi"/>
          <w:sz w:val="28"/>
          <w:szCs w:val="28"/>
        </w:rPr>
        <w:t xml:space="preserve">. </w:t>
      </w:r>
    </w:p>
    <w:p w:rsidR="004C489A" w:rsidRPr="00DE5BDE" w:rsidRDefault="004C489A" w:rsidP="000957BA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B926BA" w:rsidRPr="00B926BA" w:rsidRDefault="00B926BA" w:rsidP="00B926BA">
      <w:pPr>
        <w:shd w:val="clear" w:color="auto" w:fill="FFFFFF"/>
        <w:rPr>
          <w:rFonts w:asciiTheme="majorBidi" w:eastAsia="Times New Roman" w:hAnsiTheme="majorBidi" w:cstheme="majorBidi"/>
          <w:color w:val="373A3C"/>
          <w:sz w:val="28"/>
          <w:szCs w:val="28"/>
          <w:lang w:eastAsia="fr-FR"/>
        </w:rPr>
      </w:pPr>
    </w:p>
    <w:p w:rsidR="008F0353" w:rsidRPr="002B14F5" w:rsidRDefault="000C7413" w:rsidP="00D606CE">
      <w:pPr>
        <w:shd w:val="clear" w:color="auto" w:fill="FFFFFF"/>
        <w:rPr>
          <w:rFonts w:asciiTheme="majorBidi" w:eastAsia="Times New Roman" w:hAnsiTheme="majorBidi" w:cstheme="majorBidi"/>
          <w:color w:val="373A3C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373A3C"/>
          <w:sz w:val="28"/>
          <w:szCs w:val="28"/>
          <w:lang w:eastAsia="fr-FR"/>
        </w:rPr>
        <w:t xml:space="preserve">  </w:t>
      </w:r>
    </w:p>
    <w:p w:rsidR="008F0353" w:rsidRPr="002B14F5" w:rsidRDefault="008F0353" w:rsidP="00D606CE">
      <w:pPr>
        <w:shd w:val="clear" w:color="auto" w:fill="FFFFFF"/>
        <w:rPr>
          <w:rFonts w:asciiTheme="majorBidi" w:eastAsia="Times New Roman" w:hAnsiTheme="majorBidi" w:cstheme="majorBidi"/>
          <w:i/>
          <w:iCs/>
          <w:color w:val="373A3C"/>
          <w:sz w:val="28"/>
          <w:szCs w:val="28"/>
          <w:lang w:eastAsia="fr-FR"/>
        </w:rPr>
      </w:pPr>
    </w:p>
    <w:p w:rsidR="00D606CE" w:rsidRPr="002B14F5" w:rsidRDefault="00D606CE" w:rsidP="00842EA5">
      <w:pPr>
        <w:shd w:val="clear" w:color="auto" w:fill="FFFFFF"/>
        <w:rPr>
          <w:rFonts w:ascii="Segoe UI" w:eastAsia="Times New Roman" w:hAnsi="Segoe UI" w:cs="Segoe UI"/>
          <w:b/>
          <w:bCs/>
          <w:i/>
          <w:iCs/>
          <w:color w:val="373A3C"/>
          <w:sz w:val="28"/>
          <w:szCs w:val="28"/>
          <w:lang w:eastAsia="fr-FR"/>
        </w:rPr>
      </w:pPr>
    </w:p>
    <w:p w:rsidR="00D606CE" w:rsidRPr="002B14F5" w:rsidRDefault="00D606CE" w:rsidP="00D606CE">
      <w:pPr>
        <w:shd w:val="clear" w:color="auto" w:fill="FFFFFF"/>
        <w:rPr>
          <w:rFonts w:ascii="Segoe UI" w:eastAsia="Times New Roman" w:hAnsi="Segoe UI" w:cs="Segoe UI"/>
          <w:color w:val="373A3C"/>
          <w:sz w:val="28"/>
          <w:szCs w:val="28"/>
          <w:lang w:eastAsia="fr-FR"/>
        </w:rPr>
      </w:pPr>
    </w:p>
    <w:p w:rsidR="00397BA2" w:rsidRPr="00397BA2" w:rsidRDefault="00397BA2" w:rsidP="00397B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fr-FR"/>
        </w:rPr>
      </w:pPr>
    </w:p>
    <w:p w:rsidR="00E01A50" w:rsidRDefault="00E01A50" w:rsidP="00E01A50">
      <w:pPr>
        <w:rPr>
          <w:rFonts w:asciiTheme="majorBidi" w:hAnsiTheme="majorBidi" w:cstheme="majorBidi"/>
          <w:sz w:val="28"/>
          <w:szCs w:val="28"/>
        </w:rPr>
      </w:pPr>
    </w:p>
    <w:p w:rsidR="000455B3" w:rsidRDefault="000455B3" w:rsidP="000455B3">
      <w:pPr>
        <w:rPr>
          <w:rFonts w:asciiTheme="majorBidi" w:hAnsiTheme="majorBidi" w:cstheme="majorBidi"/>
          <w:sz w:val="28"/>
          <w:szCs w:val="28"/>
        </w:rPr>
      </w:pPr>
    </w:p>
    <w:p w:rsidR="00D05D0F" w:rsidRPr="00A7181A" w:rsidRDefault="00D05D0F" w:rsidP="00A7181A">
      <w:pPr>
        <w:rPr>
          <w:rFonts w:asciiTheme="majorBidi" w:hAnsiTheme="majorBidi" w:cstheme="majorBidi"/>
          <w:sz w:val="28"/>
          <w:szCs w:val="28"/>
        </w:rPr>
      </w:pPr>
    </w:p>
    <w:p w:rsidR="00A7181A" w:rsidRDefault="00A7181A" w:rsidP="00A7181A">
      <w:pPr>
        <w:rPr>
          <w:rFonts w:asciiTheme="majorBidi" w:hAnsiTheme="majorBidi" w:cstheme="majorBidi"/>
          <w:sz w:val="28"/>
          <w:szCs w:val="28"/>
        </w:rPr>
      </w:pPr>
    </w:p>
    <w:p w:rsidR="00A7181A" w:rsidRPr="00D339AE" w:rsidRDefault="00A7181A" w:rsidP="00A718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7181A" w:rsidRPr="00D339AE" w:rsidSect="00F6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02D"/>
      </v:shape>
    </w:pict>
  </w:numPicBullet>
  <w:abstractNum w:abstractNumId="0">
    <w:nsid w:val="00502E6C"/>
    <w:multiLevelType w:val="hybridMultilevel"/>
    <w:tmpl w:val="278EC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0B47"/>
    <w:multiLevelType w:val="hybridMultilevel"/>
    <w:tmpl w:val="C456967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62F8"/>
    <w:multiLevelType w:val="hybridMultilevel"/>
    <w:tmpl w:val="0C2C56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F99"/>
    <w:multiLevelType w:val="multilevel"/>
    <w:tmpl w:val="58BCBE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AD976FD"/>
    <w:multiLevelType w:val="hybridMultilevel"/>
    <w:tmpl w:val="558C6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6206F"/>
    <w:multiLevelType w:val="hybridMultilevel"/>
    <w:tmpl w:val="02E8C82E"/>
    <w:lvl w:ilvl="0" w:tplc="05EC69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0678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50D4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8D9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60B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AE51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44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253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D8AA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DA177C"/>
    <w:multiLevelType w:val="hybridMultilevel"/>
    <w:tmpl w:val="6CE616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95DE7"/>
    <w:multiLevelType w:val="hybridMultilevel"/>
    <w:tmpl w:val="6E4CB1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24C40"/>
    <w:multiLevelType w:val="hybridMultilevel"/>
    <w:tmpl w:val="CD1C6A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39AE"/>
    <w:rsid w:val="00021D05"/>
    <w:rsid w:val="000365BC"/>
    <w:rsid w:val="00041A2E"/>
    <w:rsid w:val="000455B3"/>
    <w:rsid w:val="00067C42"/>
    <w:rsid w:val="000957BA"/>
    <w:rsid w:val="000C7413"/>
    <w:rsid w:val="000D686A"/>
    <w:rsid w:val="00130CAA"/>
    <w:rsid w:val="00134DBB"/>
    <w:rsid w:val="00194E29"/>
    <w:rsid w:val="001B4A10"/>
    <w:rsid w:val="001B58BD"/>
    <w:rsid w:val="001C06D8"/>
    <w:rsid w:val="0020203D"/>
    <w:rsid w:val="00211BD6"/>
    <w:rsid w:val="0027510F"/>
    <w:rsid w:val="002B14F5"/>
    <w:rsid w:val="003328B7"/>
    <w:rsid w:val="003621DC"/>
    <w:rsid w:val="0039374D"/>
    <w:rsid w:val="00397BA2"/>
    <w:rsid w:val="003F3BEB"/>
    <w:rsid w:val="004601DA"/>
    <w:rsid w:val="0046090E"/>
    <w:rsid w:val="0046115C"/>
    <w:rsid w:val="00473442"/>
    <w:rsid w:val="004C489A"/>
    <w:rsid w:val="004E49F3"/>
    <w:rsid w:val="004F495A"/>
    <w:rsid w:val="005B40E1"/>
    <w:rsid w:val="005E1440"/>
    <w:rsid w:val="00627BC7"/>
    <w:rsid w:val="0066025A"/>
    <w:rsid w:val="00667311"/>
    <w:rsid w:val="00673773"/>
    <w:rsid w:val="006A68C5"/>
    <w:rsid w:val="006C6B2E"/>
    <w:rsid w:val="006D0245"/>
    <w:rsid w:val="00736835"/>
    <w:rsid w:val="007F68A8"/>
    <w:rsid w:val="0083030F"/>
    <w:rsid w:val="00842EA5"/>
    <w:rsid w:val="00866160"/>
    <w:rsid w:val="008A68B6"/>
    <w:rsid w:val="008F0353"/>
    <w:rsid w:val="00932457"/>
    <w:rsid w:val="00975682"/>
    <w:rsid w:val="009E4ABA"/>
    <w:rsid w:val="009F7894"/>
    <w:rsid w:val="00A67120"/>
    <w:rsid w:val="00A7181A"/>
    <w:rsid w:val="00A76677"/>
    <w:rsid w:val="00B63358"/>
    <w:rsid w:val="00B8382A"/>
    <w:rsid w:val="00B926BA"/>
    <w:rsid w:val="00C52E12"/>
    <w:rsid w:val="00C57F38"/>
    <w:rsid w:val="00D05D0F"/>
    <w:rsid w:val="00D339AE"/>
    <w:rsid w:val="00D606CE"/>
    <w:rsid w:val="00DD16D1"/>
    <w:rsid w:val="00DD3FC8"/>
    <w:rsid w:val="00DE5BDE"/>
    <w:rsid w:val="00E01A50"/>
    <w:rsid w:val="00E02A16"/>
    <w:rsid w:val="00E7125E"/>
    <w:rsid w:val="00F112FE"/>
    <w:rsid w:val="00F6142C"/>
    <w:rsid w:val="00F64DD6"/>
    <w:rsid w:val="00FC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D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A50"/>
    <w:pPr>
      <w:ind w:left="720"/>
      <w:contextualSpacing/>
    </w:pPr>
  </w:style>
  <w:style w:type="character" w:customStyle="1" w:styleId="highlight">
    <w:name w:val="highlight"/>
    <w:basedOn w:val="Policepardfaut"/>
    <w:rsid w:val="00397BA2"/>
  </w:style>
  <w:style w:type="paragraph" w:styleId="NormalWeb">
    <w:name w:val="Normal (Web)"/>
    <w:basedOn w:val="Normal"/>
    <w:uiPriority w:val="99"/>
    <w:semiHidden/>
    <w:unhideWhenUsed/>
    <w:rsid w:val="0004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pc-toshiba</dc:creator>
  <cp:lastModifiedBy>pc-toshiba</cp:lastModifiedBy>
  <cp:revision>17</cp:revision>
  <dcterms:created xsi:type="dcterms:W3CDTF">2020-04-05T10:59:00Z</dcterms:created>
  <dcterms:modified xsi:type="dcterms:W3CDTF">2020-04-12T21:10:00Z</dcterms:modified>
</cp:coreProperties>
</file>