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DA" w:rsidRDefault="00802001" w:rsidP="00E149D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02001">
        <w:rPr>
          <w:rFonts w:asciiTheme="majorBidi" w:hAnsiTheme="majorBidi" w:cstheme="majorBidi"/>
          <w:b/>
          <w:bCs/>
          <w:sz w:val="28"/>
          <w:szCs w:val="28"/>
        </w:rPr>
        <w:t>TD N° 1 : Membrane plasmique</w:t>
      </w:r>
    </w:p>
    <w:p w:rsidR="00E149DA" w:rsidRDefault="00E149DA" w:rsidP="00E149D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 :</w:t>
      </w:r>
    </w:p>
    <w:p w:rsidR="00E149DA" w:rsidRPr="00802001" w:rsidRDefault="00E149DA" w:rsidP="00E149D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Prénom :</w:t>
      </w:r>
    </w:p>
    <w:p w:rsidR="00802001" w:rsidRDefault="00802001"/>
    <w:p w:rsidR="00802001" w:rsidRDefault="00802001" w:rsidP="00802001">
      <w:pPr>
        <w:pStyle w:val="Paragraphedeliste"/>
        <w:numPr>
          <w:ilvl w:val="0"/>
          <w:numId w:val="1"/>
        </w:numPr>
      </w:pPr>
      <w:r>
        <w:t>Légendez le schéma suivant :</w:t>
      </w:r>
    </w:p>
    <w:p w:rsidR="00802001" w:rsidRDefault="0097508E" w:rsidP="00802001">
      <w:pPr>
        <w:pStyle w:val="Paragraphedeliste"/>
      </w:pPr>
      <w:r>
        <w:rPr>
          <w:noProof/>
          <w:lang w:eastAsia="fr-FR"/>
        </w:rPr>
        <w:pict>
          <v:rect id="_x0000_s1026" style="position:absolute;left:0;text-align:left;margin-left:14.65pt;margin-top:15.6pt;width:450pt;height:177.25pt;z-index:251658240">
            <v:fill r:id="rId5" o:title="AAA" recolor="t" type="frame"/>
          </v:rect>
        </w:pict>
      </w:r>
    </w:p>
    <w:p w:rsidR="00802001" w:rsidRDefault="00802001"/>
    <w:p w:rsidR="00802001" w:rsidRDefault="00802001"/>
    <w:p w:rsidR="00802001" w:rsidRDefault="00802001"/>
    <w:p w:rsidR="00802001" w:rsidRDefault="00802001"/>
    <w:p w:rsidR="00802001" w:rsidRDefault="00802001"/>
    <w:p w:rsidR="00802001" w:rsidRDefault="00802001"/>
    <w:p w:rsidR="00802001" w:rsidRDefault="00802001"/>
    <w:p w:rsidR="00E149DA" w:rsidRDefault="00E149DA" w:rsidP="00E149DA">
      <w:pPr>
        <w:pStyle w:val="Paragraphedeliste"/>
        <w:spacing w:line="240" w:lineRule="auto"/>
        <w:ind w:left="0"/>
        <w:jc w:val="both"/>
      </w:pPr>
    </w:p>
    <w:p w:rsidR="00E149DA" w:rsidRPr="00E149DA" w:rsidRDefault="00413AE9" w:rsidP="00E149DA">
      <w:pPr>
        <w:pStyle w:val="Paragraphedeliste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t xml:space="preserve">1.       </w:t>
      </w:r>
      <w:r w:rsidR="004B603C">
        <w:t>milieu extracellulaire</w:t>
      </w:r>
      <w:r w:rsidR="00E149DA">
        <w:t xml:space="preserve">    </w:t>
      </w:r>
      <w:r w:rsidR="004B603C">
        <w:t xml:space="preserve">                                        </w:t>
      </w:r>
      <w:r w:rsidR="001D1927">
        <w:t xml:space="preserve"> </w:t>
      </w:r>
      <w:r w:rsidR="004B603C">
        <w:t xml:space="preserve">  </w:t>
      </w:r>
      <w:r w:rsidR="00E149DA">
        <w:t xml:space="preserve"> 9.</w:t>
      </w:r>
      <w:r w:rsidR="00E149DA" w:rsidRPr="00E149DA">
        <w:rPr>
          <w:rFonts w:asciiTheme="majorBidi" w:hAnsiTheme="majorBidi" w:cstheme="majorBidi"/>
          <w:sz w:val="24"/>
          <w:szCs w:val="24"/>
        </w:rPr>
        <w:t xml:space="preserve"> </w:t>
      </w:r>
      <w:r w:rsidR="00380C38">
        <w:rPr>
          <w:rFonts w:asciiTheme="majorBidi" w:hAnsiTheme="majorBidi" w:cstheme="majorBidi"/>
          <w:sz w:val="24"/>
          <w:szCs w:val="24"/>
        </w:rPr>
        <w:t xml:space="preserve">   </w:t>
      </w:r>
      <w:r w:rsidR="003974FB">
        <w:rPr>
          <w:rFonts w:asciiTheme="majorBidi" w:hAnsiTheme="majorBidi" w:cstheme="majorBidi"/>
          <w:sz w:val="24"/>
          <w:szCs w:val="24"/>
        </w:rPr>
        <w:t>Protéine</w:t>
      </w:r>
      <w:r>
        <w:rPr>
          <w:rFonts w:asciiTheme="majorBidi" w:hAnsiTheme="majorBidi" w:cstheme="majorBidi"/>
          <w:sz w:val="24"/>
          <w:szCs w:val="24"/>
        </w:rPr>
        <w:t xml:space="preserve"> ancré </w:t>
      </w:r>
      <w:r w:rsidR="003974FB">
        <w:rPr>
          <w:rFonts w:asciiTheme="majorBidi" w:hAnsiTheme="majorBidi" w:cstheme="majorBidi"/>
          <w:sz w:val="24"/>
          <w:szCs w:val="24"/>
        </w:rPr>
        <w:t>à la face externe</w:t>
      </w:r>
    </w:p>
    <w:p w:rsidR="00E149DA" w:rsidRPr="00E149DA" w:rsidRDefault="004B603C" w:rsidP="00E149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     milieux intracellulaire                                  </w:t>
      </w:r>
      <w:r w:rsidR="001D192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149DA">
        <w:rPr>
          <w:rFonts w:asciiTheme="majorBidi" w:hAnsiTheme="majorBidi" w:cstheme="majorBidi"/>
          <w:sz w:val="24"/>
          <w:szCs w:val="24"/>
        </w:rPr>
        <w:t>10.</w:t>
      </w:r>
      <w:r w:rsidR="00380C38">
        <w:rPr>
          <w:rFonts w:asciiTheme="majorBidi" w:hAnsiTheme="majorBidi" w:cstheme="majorBidi"/>
          <w:sz w:val="24"/>
          <w:szCs w:val="24"/>
        </w:rPr>
        <w:t xml:space="preserve">   Protéine périphérique </w:t>
      </w:r>
    </w:p>
    <w:p w:rsidR="00E149DA" w:rsidRPr="00E149DA" w:rsidRDefault="00E149DA" w:rsidP="00E149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149DA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4B603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B603C">
        <w:rPr>
          <w:rFonts w:asciiTheme="majorBidi" w:hAnsiTheme="majorBidi" w:cstheme="majorBidi"/>
          <w:sz w:val="24"/>
          <w:szCs w:val="24"/>
        </w:rPr>
        <w:t>bicouche lipidique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4B603C">
        <w:rPr>
          <w:rFonts w:asciiTheme="majorBidi" w:hAnsiTheme="majorBidi" w:cstheme="majorBidi"/>
          <w:sz w:val="24"/>
          <w:szCs w:val="24"/>
        </w:rPr>
        <w:t xml:space="preserve">           </w:t>
      </w:r>
      <w:proofErr w:type="gramEnd"/>
      <w:r w:rsidR="004B603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11.</w:t>
      </w:r>
      <w:r w:rsidR="00380C38">
        <w:rPr>
          <w:rFonts w:asciiTheme="majorBidi" w:hAnsiTheme="majorBidi" w:cstheme="majorBidi"/>
          <w:sz w:val="24"/>
          <w:szCs w:val="24"/>
        </w:rPr>
        <w:t xml:space="preserve"> </w:t>
      </w:r>
      <w:r w:rsidR="00667123">
        <w:rPr>
          <w:rFonts w:asciiTheme="majorBidi" w:hAnsiTheme="majorBidi" w:cstheme="majorBidi"/>
          <w:sz w:val="24"/>
          <w:szCs w:val="24"/>
        </w:rPr>
        <w:t>Phospholipide</w:t>
      </w:r>
    </w:p>
    <w:p w:rsidR="00E149DA" w:rsidRPr="00E149DA" w:rsidRDefault="00E149DA" w:rsidP="00E149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149DA">
        <w:rPr>
          <w:rFonts w:asciiTheme="majorBidi" w:hAnsiTheme="majorBidi" w:cstheme="majorBidi"/>
          <w:sz w:val="24"/>
          <w:szCs w:val="24"/>
        </w:rPr>
        <w:t>4</w:t>
      </w:r>
      <w:r w:rsidR="004B603C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B603C">
        <w:rPr>
          <w:rFonts w:asciiTheme="majorBidi" w:hAnsiTheme="majorBidi" w:cstheme="majorBidi"/>
          <w:sz w:val="24"/>
          <w:szCs w:val="24"/>
        </w:rPr>
        <w:t xml:space="preserve">feuillet </w:t>
      </w:r>
      <w:r w:rsidR="003974FB">
        <w:rPr>
          <w:rFonts w:asciiTheme="majorBidi" w:hAnsiTheme="majorBidi" w:cstheme="majorBidi"/>
          <w:sz w:val="24"/>
          <w:szCs w:val="24"/>
        </w:rPr>
        <w:t>externe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4B603C">
        <w:rPr>
          <w:rFonts w:asciiTheme="majorBidi" w:hAnsiTheme="majorBidi" w:cstheme="majorBidi"/>
          <w:sz w:val="24"/>
          <w:szCs w:val="24"/>
        </w:rPr>
        <w:t xml:space="preserve">           </w:t>
      </w:r>
      <w:proofErr w:type="gramEnd"/>
      <w:r w:rsidR="004B603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12.</w:t>
      </w:r>
      <w:r w:rsidR="00667123">
        <w:rPr>
          <w:rFonts w:asciiTheme="majorBidi" w:hAnsiTheme="majorBidi" w:cstheme="majorBidi"/>
          <w:sz w:val="24"/>
          <w:szCs w:val="24"/>
        </w:rPr>
        <w:t xml:space="preserve"> </w:t>
      </w:r>
      <w:r w:rsidR="004D59D1">
        <w:rPr>
          <w:rFonts w:asciiTheme="majorBidi" w:hAnsiTheme="majorBidi" w:cstheme="majorBidi"/>
          <w:sz w:val="24"/>
          <w:szCs w:val="24"/>
        </w:rPr>
        <w:t>Glycolipide</w:t>
      </w:r>
    </w:p>
    <w:p w:rsidR="00E149DA" w:rsidRPr="00E149DA" w:rsidRDefault="00E149DA" w:rsidP="004D59D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149DA">
        <w:rPr>
          <w:rFonts w:asciiTheme="majorBidi" w:hAnsiTheme="majorBidi" w:cstheme="majorBidi"/>
          <w:sz w:val="24"/>
          <w:szCs w:val="24"/>
        </w:rPr>
        <w:t>5</w:t>
      </w:r>
      <w:r w:rsidR="004B603C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B603C">
        <w:rPr>
          <w:rFonts w:asciiTheme="majorBidi" w:hAnsiTheme="majorBidi" w:cstheme="majorBidi"/>
          <w:sz w:val="24"/>
          <w:szCs w:val="24"/>
        </w:rPr>
        <w:t>feuillet interne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4D59D1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1D1927">
        <w:rPr>
          <w:rFonts w:asciiTheme="majorBidi" w:hAnsiTheme="majorBidi" w:cstheme="majorBidi"/>
          <w:sz w:val="24"/>
          <w:szCs w:val="24"/>
        </w:rPr>
        <w:t xml:space="preserve">     </w:t>
      </w:r>
      <w:r w:rsidR="004B603C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1D192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13.</w:t>
      </w:r>
      <w:r w:rsidR="004D59D1">
        <w:rPr>
          <w:rFonts w:asciiTheme="majorBidi" w:hAnsiTheme="majorBidi" w:cstheme="majorBidi"/>
          <w:sz w:val="24"/>
          <w:szCs w:val="24"/>
        </w:rPr>
        <w:t xml:space="preserve">  Structure en hélice de la protéine</w:t>
      </w:r>
    </w:p>
    <w:p w:rsidR="00E149DA" w:rsidRPr="00E149DA" w:rsidRDefault="00E149DA" w:rsidP="0066712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149DA">
        <w:rPr>
          <w:rFonts w:asciiTheme="majorBidi" w:hAnsiTheme="majorBidi" w:cstheme="majorBidi"/>
          <w:sz w:val="24"/>
          <w:szCs w:val="24"/>
        </w:rPr>
        <w:t>6</w:t>
      </w:r>
      <w:r w:rsidR="004B603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B603C">
        <w:rPr>
          <w:rFonts w:asciiTheme="majorBidi" w:hAnsiTheme="majorBidi" w:cstheme="majorBidi"/>
          <w:sz w:val="24"/>
          <w:szCs w:val="24"/>
        </w:rPr>
        <w:t xml:space="preserve"> </w:t>
      </w:r>
      <w:r w:rsidR="004D59D1">
        <w:rPr>
          <w:rFonts w:asciiTheme="majorBidi" w:hAnsiTheme="majorBidi" w:cstheme="majorBidi"/>
          <w:sz w:val="24"/>
          <w:szCs w:val="24"/>
        </w:rPr>
        <w:t>protéine</w:t>
      </w:r>
      <w:proofErr w:type="gramEnd"/>
      <w:r w:rsidR="004D59D1">
        <w:rPr>
          <w:rFonts w:asciiTheme="majorBidi" w:hAnsiTheme="majorBidi" w:cstheme="majorBidi"/>
          <w:sz w:val="24"/>
          <w:szCs w:val="24"/>
        </w:rPr>
        <w:t xml:space="preserve"> à un seul domaine transmembranaire</w:t>
      </w:r>
      <w:r w:rsidR="001D192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14</w:t>
      </w:r>
      <w:r w:rsidR="004D59D1">
        <w:rPr>
          <w:rFonts w:asciiTheme="majorBidi" w:hAnsiTheme="majorBidi" w:cstheme="majorBidi"/>
          <w:sz w:val="24"/>
          <w:szCs w:val="24"/>
        </w:rPr>
        <w:t>. Face interne de la protéine</w:t>
      </w:r>
    </w:p>
    <w:p w:rsidR="00E149DA" w:rsidRPr="00E149DA" w:rsidRDefault="00E149DA" w:rsidP="00E149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sz w:val="24"/>
          <w:szCs w:val="24"/>
        </w:rPr>
        <w:t>7</w:t>
      </w:r>
      <w:r w:rsidR="00413AE9">
        <w:rPr>
          <w:rFonts w:asciiTheme="majorBidi" w:hAnsiTheme="majorBidi" w:cstheme="majorBidi"/>
          <w:sz w:val="24"/>
          <w:szCs w:val="24"/>
        </w:rPr>
        <w:t xml:space="preserve">    </w:t>
      </w:r>
      <w:r w:rsidR="003974FB">
        <w:rPr>
          <w:rFonts w:asciiTheme="majorBidi" w:hAnsiTheme="majorBidi" w:cstheme="majorBidi"/>
          <w:sz w:val="24"/>
          <w:szCs w:val="24"/>
        </w:rPr>
        <w:t>glycoprotéin</w:t>
      </w:r>
      <w:r w:rsidR="004B603C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4B603C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3974FB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413AE9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15</w:t>
      </w:r>
      <w:r w:rsidR="004F2717">
        <w:rPr>
          <w:rFonts w:asciiTheme="majorBidi" w:hAnsiTheme="majorBidi" w:cstheme="majorBidi"/>
          <w:sz w:val="24"/>
          <w:szCs w:val="24"/>
        </w:rPr>
        <w:t xml:space="preserve"> Face externe de la protéine </w:t>
      </w:r>
    </w:p>
    <w:p w:rsidR="00E149DA" w:rsidRDefault="00E149DA" w:rsidP="00E149DA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149DA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4B603C">
        <w:rPr>
          <w:rFonts w:asciiTheme="majorBidi" w:hAnsiTheme="majorBidi" w:cstheme="majorBidi"/>
          <w:sz w:val="24"/>
          <w:szCs w:val="24"/>
        </w:rPr>
        <w:t xml:space="preserve">protéine multi domaine transmembranaire    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16</w:t>
      </w:r>
      <w:r w:rsidR="004F2717">
        <w:rPr>
          <w:rFonts w:asciiTheme="majorBidi" w:hAnsiTheme="majorBidi" w:cstheme="majorBidi"/>
          <w:sz w:val="24"/>
          <w:szCs w:val="24"/>
        </w:rPr>
        <w:t>. Partie glucidique (</w:t>
      </w:r>
      <w:proofErr w:type="spellStart"/>
      <w:r w:rsidR="004F2717">
        <w:rPr>
          <w:rFonts w:asciiTheme="majorBidi" w:hAnsiTheme="majorBidi" w:cstheme="majorBidi"/>
          <w:sz w:val="24"/>
          <w:szCs w:val="24"/>
        </w:rPr>
        <w:t>glycocalyx</w:t>
      </w:r>
      <w:proofErr w:type="spellEnd"/>
      <w:r w:rsidR="004F2717">
        <w:rPr>
          <w:rFonts w:asciiTheme="majorBidi" w:hAnsiTheme="majorBidi" w:cstheme="majorBidi"/>
          <w:sz w:val="24"/>
          <w:szCs w:val="24"/>
        </w:rPr>
        <w:t>).</w:t>
      </w:r>
    </w:p>
    <w:p w:rsidR="00E149DA" w:rsidRDefault="00E149DA" w:rsidP="00E149DA">
      <w:pPr>
        <w:pStyle w:val="Paragraphedeliste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rFonts w:asciiTheme="majorBidi" w:hAnsiTheme="majorBidi" w:cstheme="majorBidi"/>
          <w:sz w:val="24"/>
          <w:szCs w:val="24"/>
        </w:rPr>
      </w:pPr>
      <w:r w:rsidRPr="00E149DA">
        <w:rPr>
          <w:rFonts w:asciiTheme="majorBidi" w:hAnsiTheme="majorBidi" w:cstheme="majorBidi"/>
          <w:b/>
          <w:bCs/>
          <w:sz w:val="24"/>
          <w:szCs w:val="24"/>
        </w:rPr>
        <w:t>Définir la fluidité membranaire et quels sont les facteurs influençant cette fluidité</w:t>
      </w:r>
      <w:r>
        <w:rPr>
          <w:rFonts w:asciiTheme="majorBidi" w:hAnsiTheme="majorBidi" w:cstheme="majorBidi"/>
          <w:sz w:val="24"/>
          <w:szCs w:val="24"/>
        </w:rPr>
        <w:t> : </w:t>
      </w:r>
    </w:p>
    <w:p w:rsidR="004D4356" w:rsidRDefault="005C799D" w:rsidP="00E149DA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fluidité membranaire couvre les possibilités de mouvement des constituants de la membrane (lipide et protéine) dans le plan de la membrane, les interactions entre les </w:t>
      </w:r>
      <w:r w:rsidR="00F25579">
        <w:rPr>
          <w:rFonts w:asciiTheme="majorBidi" w:hAnsiTheme="majorBidi" w:cstheme="majorBidi"/>
          <w:sz w:val="24"/>
          <w:szCs w:val="24"/>
        </w:rPr>
        <w:t xml:space="preserve">lipides déterminent le degré de liberté de mouvement de chacune des </w:t>
      </w:r>
      <w:proofErr w:type="spellStart"/>
      <w:r w:rsidR="00F25579">
        <w:rPr>
          <w:rFonts w:asciiTheme="majorBidi" w:hAnsiTheme="majorBidi" w:cstheme="majorBidi"/>
          <w:sz w:val="24"/>
          <w:szCs w:val="24"/>
        </w:rPr>
        <w:t>molecules</w:t>
      </w:r>
      <w:proofErr w:type="spellEnd"/>
      <w:r w:rsidR="00F25579">
        <w:rPr>
          <w:rFonts w:asciiTheme="majorBidi" w:hAnsiTheme="majorBidi" w:cstheme="majorBidi"/>
          <w:sz w:val="24"/>
          <w:szCs w:val="24"/>
        </w:rPr>
        <w:t>.</w:t>
      </w:r>
    </w:p>
    <w:p w:rsidR="00F25579" w:rsidRDefault="00F25579" w:rsidP="00E149DA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Les facteurs :</w:t>
      </w:r>
    </w:p>
    <w:p w:rsidR="00F25579" w:rsidRDefault="00F25579" w:rsidP="00F25579">
      <w:pPr>
        <w:pStyle w:val="Paragraphedeliste"/>
        <w:numPr>
          <w:ilvl w:val="0"/>
          <w:numId w:val="4"/>
        </w:numPr>
        <w:tabs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Longueur des chaines d’acides gras  (chaine courte : fluidité augmente,</w:t>
      </w:r>
    </w:p>
    <w:p w:rsidR="00F25579" w:rsidRDefault="00F25579" w:rsidP="00F25579">
      <w:pPr>
        <w:pStyle w:val="Paragraphedeliste"/>
        <w:numPr>
          <w:ilvl w:val="0"/>
          <w:numId w:val="4"/>
        </w:numPr>
        <w:tabs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Insaturation</w:t>
      </w:r>
      <w:proofErr w:type="spellEnd"/>
      <w:r>
        <w:rPr>
          <w:rFonts w:asciiTheme="majorBidi" w:hAnsiTheme="majorBidi" w:cstheme="majorBidi"/>
          <w:sz w:val="24"/>
          <w:szCs w:val="24"/>
        </w:rPr>
        <w:t>/saturation des acides gras (</w:t>
      </w:r>
      <w:proofErr w:type="spellStart"/>
      <w:r>
        <w:rPr>
          <w:rFonts w:asciiTheme="majorBidi" w:hAnsiTheme="majorBidi" w:cstheme="majorBidi"/>
          <w:sz w:val="24"/>
          <w:szCs w:val="24"/>
        </w:rPr>
        <w:t>insaturation</w:t>
      </w:r>
      <w:proofErr w:type="spellEnd"/>
      <w:r>
        <w:rPr>
          <w:rFonts w:asciiTheme="majorBidi" w:hAnsiTheme="majorBidi" w:cstheme="majorBidi"/>
          <w:sz w:val="24"/>
          <w:szCs w:val="24"/>
        </w:rPr>
        <w:t> : fluidité augmente)</w:t>
      </w:r>
    </w:p>
    <w:p w:rsidR="00F25579" w:rsidRDefault="00F25579" w:rsidP="00F25579">
      <w:pPr>
        <w:pStyle w:val="Paragraphedeliste"/>
        <w:numPr>
          <w:ilvl w:val="0"/>
          <w:numId w:val="4"/>
        </w:numPr>
        <w:tabs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Cholestérol (plus de cholestérol : moins fluide.</w:t>
      </w:r>
    </w:p>
    <w:p w:rsidR="007A6868" w:rsidRPr="00234D9E" w:rsidRDefault="00F25579" w:rsidP="00234D9E">
      <w:pPr>
        <w:pStyle w:val="Paragraphedeliste"/>
        <w:numPr>
          <w:ilvl w:val="0"/>
          <w:numId w:val="4"/>
        </w:numPr>
        <w:tabs>
          <w:tab w:val="left" w:pos="42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Température</w:t>
      </w:r>
    </w:p>
    <w:p w:rsidR="007A6868" w:rsidRDefault="007A6868" w:rsidP="00B019D2">
      <w:pPr>
        <w:pStyle w:val="Paragraphedeliste"/>
        <w:tabs>
          <w:tab w:val="left" w:pos="426"/>
        </w:tabs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A6868" w:rsidRDefault="007A6868" w:rsidP="00B019D2">
      <w:pPr>
        <w:pStyle w:val="Paragraphedeliste"/>
        <w:tabs>
          <w:tab w:val="left" w:pos="426"/>
        </w:tabs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TD N° 2 :</w:t>
      </w:r>
    </w:p>
    <w:p w:rsidR="007A6868" w:rsidRDefault="007A6868" w:rsidP="007A6868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 :</w:t>
      </w:r>
    </w:p>
    <w:p w:rsidR="007A6868" w:rsidRDefault="007A6868" w:rsidP="007A6868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Prénom</w:t>
      </w:r>
    </w:p>
    <w:p w:rsidR="007A6868" w:rsidRDefault="007A6868" w:rsidP="007A6868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A6868" w:rsidRPr="007A6868" w:rsidRDefault="007A6868" w:rsidP="0065161B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6868">
        <w:rPr>
          <w:rFonts w:asciiTheme="majorBidi" w:hAnsiTheme="majorBidi" w:cstheme="majorBidi"/>
          <w:b/>
          <w:bCs/>
          <w:sz w:val="24"/>
          <w:szCs w:val="24"/>
        </w:rPr>
        <w:t>1).</w:t>
      </w:r>
      <w:r w:rsidRPr="007A686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A6868">
        <w:rPr>
          <w:rFonts w:asciiTheme="majorBidi" w:hAnsiTheme="majorBidi" w:cstheme="majorBidi"/>
          <w:b/>
          <w:bCs/>
          <w:color w:val="000000"/>
          <w:sz w:val="24"/>
          <w:szCs w:val="24"/>
        </w:rPr>
        <w:t>Le tissu d’un organisme :</w:t>
      </w:r>
    </w:p>
    <w:p w:rsidR="007A6868" w:rsidRPr="007A6868" w:rsidRDefault="007A6868" w:rsidP="0065161B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A6868">
        <w:rPr>
          <w:rFonts w:asciiTheme="majorBidi" w:hAnsiTheme="majorBidi" w:cstheme="majorBidi"/>
          <w:color w:val="000000"/>
          <w:sz w:val="24"/>
          <w:szCs w:val="24"/>
        </w:rPr>
        <w:t>a) est un ensemble d’organes</w:t>
      </w:r>
    </w:p>
    <w:p w:rsidR="007A6868" w:rsidRPr="00234D9E" w:rsidRDefault="008150BE" w:rsidP="0065161B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b</w:t>
      </w:r>
      <w:r w:rsidR="007A6868"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) correspond à une origine embryonnaire commune</w:t>
      </w:r>
    </w:p>
    <w:p w:rsidR="007A6868" w:rsidRPr="00234D9E" w:rsidRDefault="008150BE" w:rsidP="0065161B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c</w:t>
      </w:r>
      <w:r w:rsidR="007A6868"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) est un ensemble de cellules et leur matrice (extracellulaire)</w:t>
      </w:r>
    </w:p>
    <w:p w:rsidR="007A6868" w:rsidRDefault="008150BE" w:rsidP="0065161B">
      <w:pPr>
        <w:pStyle w:val="Paragraphedeliste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7A6868" w:rsidRPr="007A6868">
        <w:rPr>
          <w:rFonts w:asciiTheme="majorBidi" w:hAnsiTheme="majorBidi" w:cstheme="majorBidi"/>
          <w:color w:val="000000"/>
          <w:sz w:val="24"/>
          <w:szCs w:val="24"/>
        </w:rPr>
        <w:t>) est composé des cellules non semblables</w:t>
      </w:r>
    </w:p>
    <w:p w:rsidR="007A6868" w:rsidRDefault="007A6868" w:rsidP="007A6868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5161B" w:rsidRDefault="007A6868" w:rsidP="0065161B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161B">
        <w:rPr>
          <w:rFonts w:asciiTheme="majorBidi" w:hAnsiTheme="majorBidi" w:cstheme="majorBidi"/>
          <w:b/>
          <w:bCs/>
          <w:color w:val="000000"/>
          <w:sz w:val="24"/>
          <w:szCs w:val="24"/>
        </w:rPr>
        <w:t>2). Parmi les molécules suivantes, cochez celles qui ne sont</w:t>
      </w:r>
      <w:r w:rsidR="0065161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pas des composants normaux des </w:t>
      </w:r>
      <w:r w:rsidRPr="0065161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membranes cellulaires eucaryotes </w:t>
      </w:r>
      <w:r w:rsidRPr="0065161B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65161B" w:rsidRDefault="007A6868" w:rsidP="0065161B">
      <w:pPr>
        <w:pStyle w:val="Paragraphedeliste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161B">
        <w:rPr>
          <w:rFonts w:asciiTheme="majorBidi" w:hAnsiTheme="majorBidi" w:cstheme="majorBidi"/>
          <w:color w:val="000000"/>
          <w:sz w:val="24"/>
          <w:szCs w:val="24"/>
        </w:rPr>
        <w:t>Protéines</w:t>
      </w:r>
    </w:p>
    <w:p w:rsidR="0065161B" w:rsidRPr="00234D9E" w:rsidRDefault="007A6868" w:rsidP="0065161B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b) Glycogène</w:t>
      </w:r>
    </w:p>
    <w:p w:rsidR="0065161B" w:rsidRDefault="007A6868" w:rsidP="0065161B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161B">
        <w:rPr>
          <w:rFonts w:asciiTheme="majorBidi" w:hAnsiTheme="majorBidi" w:cstheme="majorBidi"/>
          <w:color w:val="000000"/>
          <w:sz w:val="24"/>
          <w:szCs w:val="24"/>
        </w:rPr>
        <w:t>c) Phospholipide</w:t>
      </w:r>
      <w:r w:rsidR="0065161B" w:rsidRPr="0065161B">
        <w:rPr>
          <w:rFonts w:asciiTheme="majorBidi" w:hAnsiTheme="majorBidi" w:cstheme="majorBidi"/>
          <w:color w:val="000000"/>
          <w:sz w:val="24"/>
          <w:szCs w:val="24"/>
        </w:rPr>
        <w:t>s</w:t>
      </w:r>
    </w:p>
    <w:p w:rsidR="0065161B" w:rsidRDefault="007A6868" w:rsidP="0065161B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161B">
        <w:rPr>
          <w:rFonts w:asciiTheme="majorBidi" w:hAnsiTheme="majorBidi" w:cstheme="majorBidi"/>
          <w:color w:val="000000"/>
          <w:sz w:val="24"/>
          <w:szCs w:val="24"/>
        </w:rPr>
        <w:t>d) Cholestérol</w:t>
      </w:r>
    </w:p>
    <w:p w:rsidR="00A433DC" w:rsidRPr="00234D9E" w:rsidRDefault="007A6868" w:rsidP="008150BE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e) ARN de transfert</w:t>
      </w:r>
    </w:p>
    <w:p w:rsidR="008150BE" w:rsidRDefault="008150BE" w:rsidP="008150BE">
      <w:pPr>
        <w:tabs>
          <w:tab w:val="left" w:pos="426"/>
        </w:tabs>
        <w:spacing w:line="240" w:lineRule="auto"/>
        <w:ind w:left="360"/>
        <w:jc w:val="both"/>
        <w:rPr>
          <w:rFonts w:asciiTheme="majorBidi" w:hAnsiTheme="majorBidi" w:cstheme="majorBidi"/>
          <w:color w:val="008000"/>
          <w:sz w:val="24"/>
          <w:szCs w:val="24"/>
        </w:rPr>
      </w:pPr>
    </w:p>
    <w:p w:rsidR="00A433DC" w:rsidRDefault="00A433DC" w:rsidP="00A433DC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433DC">
        <w:rPr>
          <w:rFonts w:asciiTheme="majorBidi" w:hAnsiTheme="majorBidi" w:cstheme="majorBidi"/>
          <w:b/>
          <w:bCs/>
          <w:sz w:val="24"/>
          <w:szCs w:val="24"/>
        </w:rPr>
        <w:t>). La phosphorylation de protéines</w:t>
      </w:r>
    </w:p>
    <w:p w:rsidR="00A433DC" w:rsidRDefault="00A433DC" w:rsidP="00A433DC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433DC">
        <w:rPr>
          <w:rFonts w:asciiTheme="majorBidi" w:hAnsiTheme="majorBidi" w:cstheme="majorBidi"/>
          <w:color w:val="000000"/>
          <w:sz w:val="24"/>
          <w:szCs w:val="24"/>
        </w:rPr>
        <w:t xml:space="preserve">a) Ce fait par une </w:t>
      </w:r>
      <w:proofErr w:type="spellStart"/>
      <w:r w:rsidRPr="00A433DC">
        <w:rPr>
          <w:rFonts w:asciiTheme="majorBidi" w:hAnsiTheme="majorBidi" w:cstheme="majorBidi"/>
          <w:color w:val="000000"/>
          <w:sz w:val="24"/>
          <w:szCs w:val="24"/>
        </w:rPr>
        <w:t>GTPase</w:t>
      </w:r>
      <w:proofErr w:type="spellEnd"/>
    </w:p>
    <w:p w:rsidR="00A433DC" w:rsidRPr="00234D9E" w:rsidRDefault="00A433DC" w:rsidP="00A433DC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 w:rsidRPr="00A433DC">
        <w:rPr>
          <w:rFonts w:asciiTheme="majorBidi" w:hAnsiTheme="majorBidi" w:cstheme="majorBidi"/>
          <w:color w:val="008000"/>
          <w:sz w:val="24"/>
          <w:szCs w:val="24"/>
        </w:rPr>
        <w:t>b</w:t>
      </w: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) Ce fait par une kinase</w:t>
      </w:r>
    </w:p>
    <w:p w:rsidR="00FC57FC" w:rsidRPr="00234D9E" w:rsidRDefault="0048171B" w:rsidP="00A433DC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c) Consiste d’un</w:t>
      </w:r>
      <w:r w:rsidR="008150BE"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 xml:space="preserve"> ajout</w:t>
      </w:r>
      <w:r w:rsidR="00A433DC"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 xml:space="preserve"> de phosphate sur un acide aminé (souvent sérine, thréonine ou tyrosine)</w:t>
      </w: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.</w:t>
      </w:r>
    </w:p>
    <w:p w:rsidR="008150BE" w:rsidRPr="00234D9E" w:rsidRDefault="0048171B" w:rsidP="008150BE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d) Change la conformation de la protéine</w:t>
      </w:r>
    </w:p>
    <w:p w:rsidR="008150BE" w:rsidRPr="008150BE" w:rsidRDefault="008150BE" w:rsidP="008150BE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color w:val="008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150BE" w:rsidRDefault="008150BE" w:rsidP="008150BE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150BE">
        <w:rPr>
          <w:rFonts w:asciiTheme="majorBidi" w:hAnsiTheme="majorBidi" w:cstheme="majorBidi"/>
          <w:b/>
          <w:bCs/>
          <w:color w:val="000000"/>
          <w:sz w:val="24"/>
          <w:szCs w:val="24"/>
        </w:rPr>
        <w:t>04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  <w:r w:rsidRPr="008150B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150BE">
        <w:rPr>
          <w:rFonts w:asciiTheme="majorBidi" w:hAnsiTheme="majorBidi" w:cstheme="majorBidi"/>
          <w:b/>
          <w:bCs/>
          <w:color w:val="000000"/>
          <w:sz w:val="24"/>
          <w:szCs w:val="24"/>
        </w:rPr>
        <w:t>Les récepteurs de la membrane plasmique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 :</w:t>
      </w:r>
    </w:p>
    <w:p w:rsidR="008150BE" w:rsidRPr="008150BE" w:rsidRDefault="008150BE" w:rsidP="008150BE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150BE">
        <w:rPr>
          <w:rFonts w:asciiTheme="majorBidi" w:hAnsiTheme="majorBidi" w:cstheme="majorBidi"/>
          <w:color w:val="000000"/>
          <w:sz w:val="24"/>
          <w:szCs w:val="24"/>
        </w:rPr>
        <w:t>a) S'associent à des ligands extracellulaires de manière irréversible.</w:t>
      </w:r>
    </w:p>
    <w:p w:rsidR="008150BE" w:rsidRDefault="008150BE" w:rsidP="0048171B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color w:val="008000"/>
          <w:sz w:val="24"/>
          <w:szCs w:val="24"/>
        </w:rPr>
      </w:pP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b) Génèrent des signaux intracellulaires</w:t>
      </w:r>
      <w:r w:rsidR="004519A9"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 xml:space="preserve"> faisant intervenir des </w:t>
      </w:r>
      <w:r w:rsidR="00A96286"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réactions</w:t>
      </w:r>
      <w:r w:rsidRPr="008150BE">
        <w:rPr>
          <w:rFonts w:asciiTheme="majorBidi" w:hAnsiTheme="majorBidi" w:cstheme="majorBidi"/>
          <w:color w:val="008000"/>
          <w:sz w:val="24"/>
          <w:szCs w:val="24"/>
        </w:rPr>
        <w:t>.</w:t>
      </w:r>
    </w:p>
    <w:p w:rsidR="008150BE" w:rsidRDefault="008150BE" w:rsidP="0048171B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50BE">
        <w:rPr>
          <w:rFonts w:asciiTheme="majorBidi" w:hAnsiTheme="majorBidi" w:cstheme="majorBidi"/>
          <w:color w:val="000000"/>
          <w:sz w:val="24"/>
          <w:szCs w:val="24"/>
        </w:rPr>
        <w:t>c) Sont uniquement associés à des protéines G.</w:t>
      </w:r>
    </w:p>
    <w:p w:rsidR="008150BE" w:rsidRPr="00234D9E" w:rsidRDefault="008150BE" w:rsidP="008150BE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d) Sont responsables de la transduction d'une information.</w:t>
      </w:r>
    </w:p>
    <w:p w:rsidR="008150BE" w:rsidRPr="00234D9E" w:rsidRDefault="008150BE" w:rsidP="008150BE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  <w:r w:rsidRPr="00234D9E">
        <w:rPr>
          <w:rFonts w:asciiTheme="majorBidi" w:hAnsiTheme="majorBidi" w:cstheme="majorBidi"/>
          <w:b/>
          <w:bCs/>
          <w:color w:val="92D050"/>
          <w:sz w:val="24"/>
          <w:szCs w:val="24"/>
        </w:rPr>
        <w:t>e) Peuvent être des enzymes.</w:t>
      </w:r>
    </w:p>
    <w:p w:rsidR="00766844" w:rsidRPr="00234D9E" w:rsidRDefault="00766844" w:rsidP="008150BE">
      <w:pPr>
        <w:tabs>
          <w:tab w:val="left" w:pos="426"/>
        </w:tabs>
        <w:spacing w:line="240" w:lineRule="auto"/>
        <w:jc w:val="both"/>
        <w:rPr>
          <w:rFonts w:asciiTheme="majorBidi" w:hAnsiTheme="majorBidi" w:cstheme="majorBidi"/>
          <w:b/>
          <w:bCs/>
          <w:color w:val="92D050"/>
          <w:sz w:val="24"/>
          <w:szCs w:val="24"/>
        </w:rPr>
      </w:pPr>
    </w:p>
    <w:p w:rsidR="00766844" w:rsidRDefault="00766844" w:rsidP="00766844">
      <w:pPr>
        <w:tabs>
          <w:tab w:val="left" w:pos="426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844">
        <w:rPr>
          <w:rFonts w:asciiTheme="majorBidi" w:hAnsiTheme="majorBidi" w:cstheme="majorBidi"/>
          <w:b/>
          <w:bCs/>
          <w:sz w:val="28"/>
          <w:szCs w:val="28"/>
        </w:rPr>
        <w:lastRenderedPageBreak/>
        <w:t>TD 3</w:t>
      </w:r>
    </w:p>
    <w:p w:rsidR="00766844" w:rsidRDefault="00766844" w:rsidP="00766844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Nom :</w:t>
      </w:r>
    </w:p>
    <w:p w:rsidR="00766844" w:rsidRDefault="00766844" w:rsidP="00766844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Prénom :</w:t>
      </w:r>
    </w:p>
    <w:p w:rsidR="00766844" w:rsidRDefault="00766844" w:rsidP="00766844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Légendez les schémas suivants :</w:t>
      </w:r>
    </w:p>
    <w:p w:rsidR="008D74F7" w:rsidRDefault="008D74F7" w:rsidP="00766844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D74F7" w:rsidRDefault="00E15B4A" w:rsidP="00766844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5B4A">
        <w:rPr>
          <w:rFonts w:asciiTheme="majorBidi" w:hAnsiTheme="majorBidi" w:cstheme="majorBidi"/>
          <w:b/>
          <w:bCs/>
          <w:sz w:val="28"/>
          <w:szCs w:val="28"/>
        </w:rPr>
        <w:drawing>
          <wp:inline distT="0" distB="0" distL="0" distR="0">
            <wp:extent cx="5760720" cy="3241930"/>
            <wp:effectExtent l="19050" t="0" r="0" b="0"/>
            <wp:docPr id="5" name="Image 1" descr="2CyclePro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ycleProt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4A" w:rsidRDefault="00E15B4A" w:rsidP="00766844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D74F7" w:rsidRDefault="008D74F7" w:rsidP="00766844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15B4A" w:rsidRPr="00766844" w:rsidRDefault="00E15B4A" w:rsidP="00766844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5B4A">
        <w:rPr>
          <w:rFonts w:asciiTheme="majorBidi" w:hAnsiTheme="majorBidi" w:cstheme="majorBidi"/>
          <w:b/>
          <w:bCs/>
          <w:sz w:val="28"/>
          <w:szCs w:val="28"/>
        </w:rPr>
        <w:drawing>
          <wp:inline distT="0" distB="0" distL="0" distR="0">
            <wp:extent cx="5708890" cy="2191049"/>
            <wp:effectExtent l="19050" t="0" r="6110" b="0"/>
            <wp:docPr id="6" name="Image 2" descr="S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909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B4A" w:rsidRPr="00766844" w:rsidSect="00EB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7383"/>
    <w:multiLevelType w:val="hybridMultilevel"/>
    <w:tmpl w:val="4D3EB35E"/>
    <w:lvl w:ilvl="0" w:tplc="D2E06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42F"/>
    <w:multiLevelType w:val="hybridMultilevel"/>
    <w:tmpl w:val="EAA45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7E9A"/>
    <w:multiLevelType w:val="hybridMultilevel"/>
    <w:tmpl w:val="B3BEEC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7685"/>
    <w:multiLevelType w:val="hybridMultilevel"/>
    <w:tmpl w:val="3DA2E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6A4"/>
    <w:rsid w:val="001D1927"/>
    <w:rsid w:val="00234D9E"/>
    <w:rsid w:val="002A6537"/>
    <w:rsid w:val="00380C38"/>
    <w:rsid w:val="003974FB"/>
    <w:rsid w:val="00413AE9"/>
    <w:rsid w:val="004519A9"/>
    <w:rsid w:val="0048171B"/>
    <w:rsid w:val="004B22B5"/>
    <w:rsid w:val="004B603C"/>
    <w:rsid w:val="004D4356"/>
    <w:rsid w:val="004D59D1"/>
    <w:rsid w:val="004F2717"/>
    <w:rsid w:val="005C799D"/>
    <w:rsid w:val="0065161B"/>
    <w:rsid w:val="00667123"/>
    <w:rsid w:val="00766844"/>
    <w:rsid w:val="007A6868"/>
    <w:rsid w:val="00802001"/>
    <w:rsid w:val="008150BE"/>
    <w:rsid w:val="008D74F7"/>
    <w:rsid w:val="0097508E"/>
    <w:rsid w:val="00A433DC"/>
    <w:rsid w:val="00A96286"/>
    <w:rsid w:val="00B019D2"/>
    <w:rsid w:val="00CF46A4"/>
    <w:rsid w:val="00E149DA"/>
    <w:rsid w:val="00E15B4A"/>
    <w:rsid w:val="00EB500A"/>
    <w:rsid w:val="00F25579"/>
    <w:rsid w:val="00F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0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Joyce</cp:lastModifiedBy>
  <cp:revision>3</cp:revision>
  <dcterms:created xsi:type="dcterms:W3CDTF">2020-06-17T09:36:00Z</dcterms:created>
  <dcterms:modified xsi:type="dcterms:W3CDTF">2020-06-17T10:16:00Z</dcterms:modified>
</cp:coreProperties>
</file>