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5A" w:rsidRPr="00712EC7" w:rsidRDefault="00C4535A" w:rsidP="00C4535A">
      <w:pPr>
        <w:jc w:val="center"/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</w:pPr>
      <w:r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 xml:space="preserve">Université de Djelfa </w:t>
      </w:r>
    </w:p>
    <w:p w:rsidR="00C4535A" w:rsidRPr="00712EC7" w:rsidRDefault="00C4535A" w:rsidP="00C4535A">
      <w:pPr>
        <w:jc w:val="center"/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</w:pPr>
      <w:r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 xml:space="preserve">Faculté de droit et sciences politiques </w:t>
      </w:r>
    </w:p>
    <w:p w:rsidR="00C4535A" w:rsidRPr="00712EC7" w:rsidRDefault="00C4535A" w:rsidP="00C4535A">
      <w:pPr>
        <w:jc w:val="center"/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</w:pPr>
      <w:r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 xml:space="preserve">Département de droit </w:t>
      </w:r>
    </w:p>
    <w:p w:rsidR="00C4535A" w:rsidRPr="00712EC7" w:rsidRDefault="008641BE" w:rsidP="0053080F">
      <w:pPr>
        <w:jc w:val="center"/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</w:pPr>
      <w:r w:rsidRPr="008641BE">
        <w:rPr>
          <w:rFonts w:ascii="Calibri" w:eastAsia="Calibri" w:hAnsi="Calibri" w:cs="Arial"/>
          <w:b/>
          <w:bCs/>
          <w:i/>
          <w:iCs/>
          <w:noProof/>
          <w:sz w:val="32"/>
          <w:szCs w:val="32"/>
        </w:rPr>
        <w:pict>
          <v:roundrect id="_x0000_s1026" style="position:absolute;left:0;text-align:left;margin-left:104.75pt;margin-top:24.8pt;width:322.9pt;height:84pt;z-index:-251658752" arcsize="10923f"/>
        </w:pict>
      </w:r>
      <w:r w:rsid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 xml:space="preserve">Deuxième </w:t>
      </w:r>
      <w:r w:rsidR="00C4535A"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 xml:space="preserve"> semestre; première année (LMD</w:t>
      </w:r>
      <w:proofErr w:type="gramStart"/>
      <w:r w:rsidR="00C4535A"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>),</w:t>
      </w:r>
      <w:proofErr w:type="gramEnd"/>
      <w:r w:rsidR="00C4535A"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>20</w:t>
      </w:r>
      <w:r w:rsidR="0041236B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>20</w:t>
      </w:r>
      <w:r w:rsidR="00C4535A" w:rsidRPr="00712EC7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>/20</w:t>
      </w:r>
      <w:r w:rsidR="0041236B">
        <w:rPr>
          <w:rFonts w:ascii="Calibri" w:eastAsia="Calibri" w:hAnsi="Calibri" w:cs="Arial"/>
          <w:b/>
          <w:bCs/>
          <w:i/>
          <w:iCs/>
          <w:sz w:val="32"/>
          <w:szCs w:val="32"/>
          <w:lang w:val="fr-FR"/>
        </w:rPr>
        <w:t>21</w:t>
      </w:r>
    </w:p>
    <w:p w:rsidR="009C24BC" w:rsidRPr="0053080F" w:rsidRDefault="0053080F" w:rsidP="0053080F">
      <w:pPr>
        <w:jc w:val="center"/>
        <w:rPr>
          <w:rFonts w:ascii="Calibri" w:eastAsia="Calibri" w:hAnsi="Calibri" w:cs="Arial"/>
          <w:b/>
          <w:bCs/>
          <w:i/>
          <w:iCs/>
          <w:sz w:val="72"/>
          <w:szCs w:val="72"/>
          <w:lang w:val="fr-FR"/>
        </w:rPr>
      </w:pPr>
      <w:r w:rsidRPr="0053080F">
        <w:rPr>
          <w:rFonts w:ascii="Arial" w:eastAsia="Times New Roman" w:hAnsi="Arial" w:cs="Arial"/>
          <w:b/>
          <w:bCs/>
          <w:color w:val="002266"/>
          <w:sz w:val="36"/>
          <w:szCs w:val="36"/>
          <w:lang w:val="fr-FR"/>
        </w:rPr>
        <w:t>Cours n</w:t>
      </w:r>
      <w:r w:rsidRPr="0053080F">
        <w:rPr>
          <w:rFonts w:ascii="Arial" w:eastAsia="Times New Roman" w:hAnsi="Arial" w:cs="Arial"/>
          <w:b/>
          <w:bCs/>
          <w:color w:val="002266"/>
          <w:sz w:val="36"/>
          <w:szCs w:val="36"/>
          <w:vertAlign w:val="superscript"/>
          <w:lang w:val="fr-FR"/>
        </w:rPr>
        <w:t>0</w:t>
      </w:r>
      <w:r w:rsidRPr="0053080F">
        <w:rPr>
          <w:rFonts w:ascii="Arial" w:eastAsia="Times New Roman" w:hAnsi="Arial" w:cs="Arial"/>
          <w:b/>
          <w:bCs/>
          <w:color w:val="002266"/>
          <w:sz w:val="36"/>
          <w:szCs w:val="36"/>
          <w:lang w:val="fr-FR"/>
        </w:rPr>
        <w:t xml:space="preserve"> 01</w:t>
      </w:r>
      <w:r w:rsidR="009C24BC" w:rsidRPr="0053080F">
        <w:rPr>
          <w:rFonts w:ascii="Arial" w:eastAsia="Times New Roman" w:hAnsi="Arial" w:cs="Arial"/>
          <w:b/>
          <w:bCs/>
          <w:color w:val="002266"/>
          <w:sz w:val="36"/>
          <w:szCs w:val="36"/>
          <w:lang w:val="fr-FR"/>
        </w:rPr>
        <w:br/>
      </w:r>
      <w:r w:rsidR="00EE4C40" w:rsidRPr="0053080F">
        <w:rPr>
          <w:rFonts w:ascii="Calibri" w:eastAsia="Calibri" w:hAnsi="Calibri" w:cs="Arial"/>
          <w:b/>
          <w:bCs/>
          <w:i/>
          <w:iCs/>
          <w:sz w:val="72"/>
          <w:szCs w:val="72"/>
          <w:lang w:val="fr-FR"/>
        </w:rPr>
        <w:t>les droits subjectifs</w:t>
      </w:r>
    </w:p>
    <w:p w:rsidR="00712EC7" w:rsidRPr="00712EC7" w:rsidRDefault="00EE4C40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b/>
          <w:bCs/>
          <w:sz w:val="36"/>
          <w:szCs w:val="36"/>
          <w:lang w:val="fr-FR"/>
        </w:rPr>
        <w:t>L</w:t>
      </w:r>
      <w:r w:rsidR="009C24BC" w:rsidRPr="00712EC7">
        <w:rPr>
          <w:rFonts w:ascii="Calibri" w:eastAsia="Calibri" w:hAnsi="Calibri" w:cs="Arial"/>
          <w:b/>
          <w:bCs/>
          <w:sz w:val="36"/>
          <w:szCs w:val="36"/>
          <w:lang w:val="fr-FR"/>
        </w:rPr>
        <w:t>e droit subjectif</w:t>
      </w:r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 xml:space="preserve"> désigne l'ensemble des </w:t>
      </w:r>
      <w:hyperlink r:id="rId5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prérogatives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>, avantages ou </w:t>
      </w:r>
      <w:hyperlink r:id="rId6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pouvoirs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 xml:space="preserve"> particuliers dont bénéficie et peut se prévaloir un sujet de </w:t>
      </w:r>
      <w:hyperlink r:id="rId7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droit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>, qu'il soit personne physique ou </w:t>
      </w:r>
      <w:hyperlink r:id="rId8" w:tooltip="Définition de personne morale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morale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>. Les droits subjectifs sont reconnus par le </w:t>
      </w:r>
      <w:hyperlink r:id="rId9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droit objectif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>. Ainsi, les individus sont égaux devant la </w:t>
      </w:r>
      <w:hyperlink r:id="rId10" w:history="1">
        <w:r w:rsidR="009C24BC" w:rsidRPr="00712EC7">
          <w:rPr>
            <w:rFonts w:ascii="Calibri" w:eastAsia="Calibri" w:hAnsi="Calibri" w:cs="Arial"/>
            <w:sz w:val="36"/>
            <w:szCs w:val="36"/>
            <w:lang w:val="fr-FR"/>
          </w:rPr>
          <w:t>loi</w:t>
        </w:r>
      </w:hyperlink>
      <w:r w:rsidR="009C24BC" w:rsidRPr="00712EC7">
        <w:rPr>
          <w:rFonts w:ascii="Calibri" w:eastAsia="Calibri" w:hAnsi="Calibri" w:cs="Arial"/>
          <w:sz w:val="36"/>
          <w:szCs w:val="36"/>
          <w:lang w:val="fr-FR"/>
        </w:rPr>
        <w:t> (droit objectif), mais n'ont pas tous les mêmes droits. Les droits subjectifs sont opposables aux tiers, leur respect ou leur reconnaissance peut être réclamée en justice.</w:t>
      </w:r>
    </w:p>
    <w:p w:rsidR="00712EC7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sz w:val="36"/>
          <w:szCs w:val="36"/>
          <w:lang w:val="fr-FR"/>
        </w:rPr>
        <w:t>Dans les droits subjectifs, on distingue :</w:t>
      </w:r>
    </w:p>
    <w:p w:rsidR="009C24BC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sz w:val="36"/>
          <w:szCs w:val="36"/>
          <w:lang w:val="fr-FR"/>
        </w:rPr>
        <w:t>Les </w:t>
      </w:r>
      <w:hyperlink r:id="rId11" w:history="1">
        <w:r w:rsidRPr="00712EC7">
          <w:rPr>
            <w:rFonts w:ascii="Calibri" w:eastAsia="Calibri" w:hAnsi="Calibri" w:cs="Arial"/>
            <w:sz w:val="36"/>
            <w:szCs w:val="36"/>
            <w:lang w:val="fr-FR"/>
          </w:rPr>
          <w:t>droits patrimoniaux</w:t>
        </w:r>
      </w:hyperlink>
      <w:r w:rsidRPr="00712EC7">
        <w:rPr>
          <w:rFonts w:ascii="Calibri" w:eastAsia="Calibri" w:hAnsi="Calibri" w:cs="Arial"/>
          <w:sz w:val="36"/>
          <w:szCs w:val="36"/>
          <w:lang w:val="fr-FR"/>
        </w:rPr>
        <w:t> qui ont une valeur pécuniaire en argent. Ils sont transmissibles, par exemple par </w:t>
      </w:r>
      <w:hyperlink r:id="rId12" w:history="1">
        <w:r w:rsidRPr="00712EC7">
          <w:rPr>
            <w:rFonts w:ascii="Calibri" w:eastAsia="Calibri" w:hAnsi="Calibri" w:cs="Arial"/>
            <w:sz w:val="36"/>
            <w:szCs w:val="36"/>
            <w:lang w:val="fr-FR"/>
          </w:rPr>
          <w:t>héritage</w:t>
        </w:r>
      </w:hyperlink>
      <w:r w:rsidRPr="00712EC7">
        <w:rPr>
          <w:rFonts w:ascii="Calibri" w:eastAsia="Calibri" w:hAnsi="Calibri" w:cs="Arial"/>
          <w:sz w:val="36"/>
          <w:szCs w:val="36"/>
          <w:lang w:val="fr-FR"/>
        </w:rPr>
        <w:t>, cessibles à un acquéreur, saisissables par des créanciers impayés, prescriptibles (extinction du droit après un certain délai fixé par la loi). Ils sont répartis en trois catégories :</w:t>
      </w:r>
    </w:p>
    <w:p w:rsidR="009C24BC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sz w:val="36"/>
          <w:szCs w:val="36"/>
          <w:lang w:val="fr-FR"/>
        </w:rPr>
        <w:t>Les droits réels mettent en relation un sujet de droit et une chose matérielle.</w:t>
      </w:r>
      <w:r w:rsidRPr="00712EC7">
        <w:rPr>
          <w:rFonts w:ascii="Calibri" w:eastAsia="Calibri" w:hAnsi="Calibri" w:cs="Arial"/>
          <w:sz w:val="36"/>
          <w:szCs w:val="36"/>
          <w:lang w:val="fr-FR"/>
        </w:rPr>
        <w:br/>
      </w:r>
      <w:r w:rsidRPr="00712EC7">
        <w:rPr>
          <w:rFonts w:ascii="Calibri" w:eastAsia="Calibri" w:hAnsi="Calibri" w:cs="Arial"/>
          <w:b/>
          <w:bCs/>
          <w:sz w:val="36"/>
          <w:szCs w:val="36"/>
          <w:lang w:val="fr-FR"/>
        </w:rPr>
        <w:lastRenderedPageBreak/>
        <w:t>Exemples : </w:t>
      </w:r>
      <w:hyperlink r:id="rId13" w:history="1">
        <w:r w:rsidRPr="00712EC7">
          <w:rPr>
            <w:rFonts w:ascii="Calibri" w:eastAsia="Calibri" w:hAnsi="Calibri" w:cs="Arial"/>
            <w:b/>
            <w:bCs/>
            <w:sz w:val="36"/>
            <w:szCs w:val="36"/>
            <w:lang w:val="fr-FR"/>
          </w:rPr>
          <w:t>droit de propriété</w:t>
        </w:r>
      </w:hyperlink>
      <w:r w:rsidRPr="00712EC7">
        <w:rPr>
          <w:rFonts w:ascii="Calibri" w:eastAsia="Calibri" w:hAnsi="Calibri" w:cs="Arial"/>
          <w:b/>
          <w:bCs/>
          <w:sz w:val="36"/>
          <w:szCs w:val="36"/>
          <w:lang w:val="fr-FR"/>
        </w:rPr>
        <w:t>, usufruit, nue propriété,hypothèque, gage.</w:t>
      </w:r>
    </w:p>
    <w:p w:rsidR="009C24BC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sz w:val="36"/>
          <w:szCs w:val="36"/>
          <w:lang w:val="fr-FR"/>
        </w:rPr>
        <w:t>Les droits personnels (ou droits de créance) portent sur une personne. Un droit personnel met en relation un créancier et un débiteur. Exemples: créancier chirographaire, privilégié ou nanti.</w:t>
      </w:r>
    </w:p>
    <w:p w:rsidR="009C24BC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712EC7">
        <w:rPr>
          <w:rFonts w:ascii="Calibri" w:eastAsia="Calibri" w:hAnsi="Calibri" w:cs="Arial"/>
          <w:sz w:val="36"/>
          <w:szCs w:val="36"/>
          <w:lang w:val="fr-FR"/>
        </w:rPr>
        <w:t>Les droits intellectuels portent sur quelque chose d'incorporel résultant de l'activité intellectuelle du sujet de droit. Exemples : propriété littéraire, propriété artistique, propriété industrielle, propriété de clientèle...</w:t>
      </w:r>
    </w:p>
    <w:p w:rsidR="009C24BC" w:rsidRPr="00712EC7" w:rsidRDefault="009C24BC" w:rsidP="002975D9">
      <w:p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2975D9">
        <w:rPr>
          <w:rFonts w:ascii="Calibri" w:eastAsia="Calibri" w:hAnsi="Calibri" w:cs="Arial"/>
          <w:b/>
          <w:bCs/>
          <w:sz w:val="36"/>
          <w:szCs w:val="36"/>
          <w:u w:val="single"/>
          <w:lang w:val="fr-FR"/>
        </w:rPr>
        <w:t>Les </w:t>
      </w:r>
      <w:hyperlink r:id="rId14" w:history="1">
        <w:r w:rsidRPr="002975D9">
          <w:rPr>
            <w:rFonts w:ascii="Calibri" w:eastAsia="Calibri" w:hAnsi="Calibri" w:cs="Arial"/>
            <w:b/>
            <w:bCs/>
            <w:sz w:val="36"/>
            <w:szCs w:val="36"/>
            <w:u w:val="single"/>
            <w:lang w:val="fr-FR"/>
          </w:rPr>
          <w:t>droits extrapatrimoniaux</w:t>
        </w:r>
      </w:hyperlink>
      <w:r w:rsidRPr="00712EC7">
        <w:rPr>
          <w:rFonts w:ascii="Calibri" w:eastAsia="Calibri" w:hAnsi="Calibri" w:cs="Arial"/>
          <w:sz w:val="36"/>
          <w:szCs w:val="36"/>
          <w:lang w:val="fr-FR"/>
        </w:rPr>
        <w:t> qui n'ont pas de valeur pécuniaire en eux-mêmes et qui sont intransmissibles,incessibles, </w:t>
      </w:r>
      <w:hyperlink r:id="rId15" w:history="1">
        <w:r w:rsidRPr="00712EC7">
          <w:rPr>
            <w:rFonts w:ascii="Calibri" w:eastAsia="Calibri" w:hAnsi="Calibri" w:cs="Arial"/>
            <w:sz w:val="36"/>
            <w:szCs w:val="36"/>
            <w:lang w:val="fr-FR"/>
          </w:rPr>
          <w:t>insaisissables</w:t>
        </w:r>
      </w:hyperlink>
      <w:r w:rsidRPr="00712EC7">
        <w:rPr>
          <w:rFonts w:ascii="Calibri" w:eastAsia="Calibri" w:hAnsi="Calibri" w:cs="Arial"/>
          <w:sz w:val="36"/>
          <w:szCs w:val="36"/>
          <w:lang w:val="fr-FR"/>
        </w:rPr>
        <w:t> et </w:t>
      </w:r>
      <w:hyperlink r:id="rId16" w:history="1">
        <w:r w:rsidRPr="00712EC7">
          <w:rPr>
            <w:rFonts w:ascii="Calibri" w:eastAsia="Calibri" w:hAnsi="Calibri" w:cs="Arial"/>
            <w:sz w:val="36"/>
            <w:szCs w:val="36"/>
            <w:lang w:val="fr-FR"/>
          </w:rPr>
          <w:t>imprescriptibles</w:t>
        </w:r>
      </w:hyperlink>
      <w:r w:rsidRPr="00712EC7">
        <w:rPr>
          <w:rFonts w:ascii="Calibri" w:eastAsia="Calibri" w:hAnsi="Calibri" w:cs="Arial"/>
          <w:sz w:val="36"/>
          <w:szCs w:val="36"/>
          <w:lang w:val="fr-FR"/>
        </w:rPr>
        <w:t>.</w:t>
      </w:r>
    </w:p>
    <w:p w:rsidR="009C24BC" w:rsidRPr="002975D9" w:rsidRDefault="009C24BC" w:rsidP="002975D9">
      <w:pPr>
        <w:pStyle w:val="Paragraphedeliste"/>
        <w:numPr>
          <w:ilvl w:val="0"/>
          <w:numId w:val="3"/>
        </w:num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2975D9">
        <w:rPr>
          <w:rFonts w:ascii="Calibri" w:eastAsia="Calibri" w:hAnsi="Calibri" w:cs="Arial"/>
          <w:sz w:val="36"/>
          <w:szCs w:val="36"/>
          <w:lang w:val="fr-FR"/>
        </w:rPr>
        <w:t>Les droits politiques (Ex : </w:t>
      </w:r>
      <w:hyperlink r:id="rId17" w:history="1">
        <w:r w:rsidRPr="002975D9">
          <w:rPr>
            <w:rFonts w:ascii="Calibri" w:eastAsia="Calibri" w:hAnsi="Calibri" w:cs="Arial"/>
            <w:sz w:val="36"/>
            <w:szCs w:val="36"/>
            <w:lang w:val="fr-FR"/>
          </w:rPr>
          <w:t>droit de vote</w:t>
        </w:r>
      </w:hyperlink>
      <w:r w:rsidRPr="002975D9">
        <w:rPr>
          <w:rFonts w:ascii="Calibri" w:eastAsia="Calibri" w:hAnsi="Calibri" w:cs="Arial"/>
          <w:sz w:val="36"/>
          <w:szCs w:val="36"/>
          <w:lang w:val="fr-FR"/>
        </w:rPr>
        <w:t>)</w:t>
      </w:r>
    </w:p>
    <w:p w:rsidR="009C24BC" w:rsidRPr="002975D9" w:rsidRDefault="009C24BC" w:rsidP="002975D9">
      <w:pPr>
        <w:pStyle w:val="Paragraphedeliste"/>
        <w:numPr>
          <w:ilvl w:val="0"/>
          <w:numId w:val="3"/>
        </w:num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2975D9">
        <w:rPr>
          <w:rFonts w:ascii="Calibri" w:eastAsia="Calibri" w:hAnsi="Calibri" w:cs="Arial"/>
          <w:sz w:val="36"/>
          <w:szCs w:val="36"/>
          <w:lang w:val="fr-FR"/>
        </w:rPr>
        <w:t>Les droits publics, civils et civiques</w:t>
      </w:r>
    </w:p>
    <w:p w:rsidR="009C24BC" w:rsidRPr="002975D9" w:rsidRDefault="009C24BC" w:rsidP="002975D9">
      <w:pPr>
        <w:pStyle w:val="Paragraphedeliste"/>
        <w:numPr>
          <w:ilvl w:val="0"/>
          <w:numId w:val="3"/>
        </w:numPr>
        <w:spacing w:before="240" w:after="240" w:line="360" w:lineRule="auto"/>
        <w:rPr>
          <w:rFonts w:ascii="Calibri" w:eastAsia="Calibri" w:hAnsi="Calibri" w:cs="Arial"/>
          <w:sz w:val="36"/>
          <w:szCs w:val="36"/>
          <w:lang w:val="fr-FR"/>
        </w:rPr>
      </w:pPr>
      <w:r w:rsidRPr="002975D9">
        <w:rPr>
          <w:rFonts w:ascii="Calibri" w:eastAsia="Calibri" w:hAnsi="Calibri" w:cs="Arial"/>
          <w:sz w:val="36"/>
          <w:szCs w:val="36"/>
          <w:lang w:val="fr-FR"/>
        </w:rPr>
        <w:t>Les droits familiaux (autorité parentale)</w:t>
      </w:r>
    </w:p>
    <w:p w:rsidR="00EE4C40" w:rsidRPr="0041236B" w:rsidRDefault="009C24BC" w:rsidP="00D24624">
      <w:pPr>
        <w:pStyle w:val="Paragraphedeliste"/>
        <w:numPr>
          <w:ilvl w:val="0"/>
          <w:numId w:val="3"/>
        </w:numPr>
        <w:spacing w:before="240" w:after="240" w:line="360" w:lineRule="auto"/>
        <w:rPr>
          <w:sz w:val="24"/>
          <w:szCs w:val="24"/>
          <w:lang w:val="fr-FR"/>
        </w:rPr>
      </w:pPr>
      <w:r w:rsidRPr="00D24624">
        <w:rPr>
          <w:rFonts w:ascii="Calibri" w:eastAsia="Calibri" w:hAnsi="Calibri" w:cs="Arial"/>
          <w:sz w:val="36"/>
          <w:szCs w:val="36"/>
          <w:lang w:val="fr-FR"/>
        </w:rPr>
        <w:t>Les droits de la personnalité Ex : droit au nom, à l'honneur, à l'image, à l'intimité de la vie privée, droit </w:t>
      </w:r>
      <w:hyperlink r:id="rId18" w:history="1">
        <w:r w:rsidRPr="00D24624">
          <w:rPr>
            <w:rFonts w:ascii="Calibri" w:eastAsia="Calibri" w:hAnsi="Calibri" w:cs="Arial"/>
            <w:sz w:val="36"/>
            <w:szCs w:val="36"/>
            <w:lang w:val="fr-FR"/>
          </w:rPr>
          <w:t>moral</w:t>
        </w:r>
      </w:hyperlink>
      <w:r w:rsidRPr="00D24624">
        <w:rPr>
          <w:rFonts w:ascii="Calibri" w:eastAsia="Calibri" w:hAnsi="Calibri" w:cs="Arial"/>
          <w:sz w:val="36"/>
          <w:szCs w:val="36"/>
          <w:lang w:val="fr-FR"/>
        </w:rPr>
        <w:t xml:space="preserve"> de l'auteur sur son </w:t>
      </w:r>
      <w:r w:rsidR="00712EC7" w:rsidRPr="00D24624">
        <w:rPr>
          <w:rFonts w:ascii="Calibri" w:eastAsia="Calibri" w:hAnsi="Calibri" w:cs="Arial"/>
          <w:sz w:val="36"/>
          <w:szCs w:val="36"/>
          <w:lang w:val="fr-FR"/>
        </w:rPr>
        <w:t>œuvre</w:t>
      </w:r>
      <w:r w:rsidR="002975D9" w:rsidRPr="00D24624">
        <w:rPr>
          <w:rFonts w:ascii="Calibri" w:eastAsia="Calibri" w:hAnsi="Calibri" w:cs="Arial"/>
          <w:sz w:val="36"/>
          <w:szCs w:val="36"/>
          <w:lang w:val="fr-FR"/>
        </w:rPr>
        <w:t>.</w:t>
      </w:r>
    </w:p>
    <w:sectPr w:rsidR="00EE4C40" w:rsidRPr="0041236B" w:rsidSect="00712E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B93"/>
    <w:multiLevelType w:val="multilevel"/>
    <w:tmpl w:val="7254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87157"/>
    <w:multiLevelType w:val="multilevel"/>
    <w:tmpl w:val="DA20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26497"/>
    <w:multiLevelType w:val="hybridMultilevel"/>
    <w:tmpl w:val="A8AE95D8"/>
    <w:lvl w:ilvl="0" w:tplc="E8708C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C24BC"/>
    <w:rsid w:val="002975D9"/>
    <w:rsid w:val="0041236B"/>
    <w:rsid w:val="004E70C3"/>
    <w:rsid w:val="0053080F"/>
    <w:rsid w:val="00545762"/>
    <w:rsid w:val="00712EC7"/>
    <w:rsid w:val="008641BE"/>
    <w:rsid w:val="00982F5C"/>
    <w:rsid w:val="009C24BC"/>
    <w:rsid w:val="00C4535A"/>
    <w:rsid w:val="00C73AEC"/>
    <w:rsid w:val="00D24624"/>
    <w:rsid w:val="00EE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0C3"/>
  </w:style>
  <w:style w:type="paragraph" w:styleId="Titre4">
    <w:name w:val="heading 4"/>
    <w:basedOn w:val="Normal"/>
    <w:link w:val="Titre4Car"/>
    <w:uiPriority w:val="9"/>
    <w:qFormat/>
    <w:rsid w:val="009C2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9C24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ev">
    <w:name w:val="Strong"/>
    <w:basedOn w:val="Policepardfaut"/>
    <w:uiPriority w:val="22"/>
    <w:qFormat/>
    <w:rsid w:val="009C24B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C24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pie.org/Dictionnaire/Personne_morale.htm" TargetMode="External"/><Relationship Id="rId13" Type="http://schemas.openxmlformats.org/officeDocument/2006/relationships/hyperlink" Target="http://www.toupie.org/Dictionnaire/Droit_propriete.htm" TargetMode="External"/><Relationship Id="rId18" Type="http://schemas.openxmlformats.org/officeDocument/2006/relationships/hyperlink" Target="http://www.toupie.org/Dictionnaire/Mora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upie.org/Dictionnaire/Droit.htm" TargetMode="External"/><Relationship Id="rId12" Type="http://schemas.openxmlformats.org/officeDocument/2006/relationships/hyperlink" Target="http://www.toupie.org/Dictionnaire/Heritage.htm" TargetMode="External"/><Relationship Id="rId17" Type="http://schemas.openxmlformats.org/officeDocument/2006/relationships/hyperlink" Target="http://www.toupie.org/Dictionnaire/Droit_vot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pie.org/Dictionnaire/Droit_imprescriptibl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upie.org/Dictionnaire/Pouvoir.htm" TargetMode="External"/><Relationship Id="rId11" Type="http://schemas.openxmlformats.org/officeDocument/2006/relationships/hyperlink" Target="http://www.toupie.org/Dictionnaire/Droit_patrimonial.htm" TargetMode="External"/><Relationship Id="rId5" Type="http://schemas.openxmlformats.org/officeDocument/2006/relationships/hyperlink" Target="http://www.toupie.org/Dictionnaire/Prerogative.htm" TargetMode="External"/><Relationship Id="rId15" Type="http://schemas.openxmlformats.org/officeDocument/2006/relationships/hyperlink" Target="http://www.toupie.org/Dictionnaire/Insaisissable.htm" TargetMode="External"/><Relationship Id="rId10" Type="http://schemas.openxmlformats.org/officeDocument/2006/relationships/hyperlink" Target="http://www.toupie.org/Dictionnaire/Loi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upie.org/Dictionnaire/Droit_objectif.htm" TargetMode="External"/><Relationship Id="rId14" Type="http://schemas.openxmlformats.org/officeDocument/2006/relationships/hyperlink" Target="http://www.toupie.org/Dictionnaire/Droit_extrapatrimonial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Droit-Ac</cp:lastModifiedBy>
  <cp:revision>7</cp:revision>
  <cp:lastPrinted>2019-02-16T21:18:00Z</cp:lastPrinted>
  <dcterms:created xsi:type="dcterms:W3CDTF">2019-02-16T18:22:00Z</dcterms:created>
  <dcterms:modified xsi:type="dcterms:W3CDTF">2021-05-27T11:34:00Z</dcterms:modified>
</cp:coreProperties>
</file>