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641" w:rsidRPr="00C73641" w:rsidRDefault="00C73641" w:rsidP="00C73641">
      <w:pPr>
        <w:autoSpaceDE w:val="0"/>
        <w:autoSpaceDN w:val="0"/>
        <w:adjustRightInd w:val="0"/>
        <w:spacing w:after="0" w:line="360" w:lineRule="auto"/>
        <w:rPr>
          <w:rFonts w:ascii="Times New Roman" w:hAnsi="Times New Roman" w:cs="Times New Roman"/>
          <w:b/>
          <w:bCs/>
          <w:sz w:val="24"/>
          <w:szCs w:val="24"/>
        </w:rPr>
      </w:pPr>
      <w:r w:rsidRPr="00C73641">
        <w:rPr>
          <w:rFonts w:ascii="Times New Roman" w:hAnsi="Times New Roman" w:cs="Times New Roman"/>
          <w:b/>
          <w:bCs/>
          <w:sz w:val="24"/>
          <w:szCs w:val="24"/>
        </w:rPr>
        <w:t>Université Ziane Achour – Djelfa</w:t>
      </w:r>
    </w:p>
    <w:p w:rsidR="00C73641" w:rsidRPr="00C73641" w:rsidRDefault="00C73641" w:rsidP="00C73641">
      <w:pPr>
        <w:autoSpaceDE w:val="0"/>
        <w:autoSpaceDN w:val="0"/>
        <w:adjustRightInd w:val="0"/>
        <w:spacing w:after="0" w:line="360" w:lineRule="auto"/>
        <w:rPr>
          <w:rFonts w:ascii="Times New Roman" w:hAnsi="Times New Roman" w:cs="Times New Roman"/>
          <w:b/>
          <w:bCs/>
          <w:sz w:val="24"/>
          <w:szCs w:val="24"/>
        </w:rPr>
      </w:pPr>
      <w:r w:rsidRPr="00C73641">
        <w:rPr>
          <w:rFonts w:ascii="Times New Roman" w:hAnsi="Times New Roman" w:cs="Times New Roman"/>
          <w:b/>
          <w:bCs/>
          <w:sz w:val="24"/>
          <w:szCs w:val="24"/>
        </w:rPr>
        <w:t>Faculté des Sciences de la Nature et de la Vie</w:t>
      </w:r>
    </w:p>
    <w:p w:rsidR="00C73641" w:rsidRPr="00C73641" w:rsidRDefault="00C73641" w:rsidP="00C73641">
      <w:pPr>
        <w:autoSpaceDE w:val="0"/>
        <w:autoSpaceDN w:val="0"/>
        <w:adjustRightInd w:val="0"/>
        <w:spacing w:after="0" w:line="360" w:lineRule="auto"/>
        <w:rPr>
          <w:rFonts w:ascii="Times New Roman" w:hAnsi="Times New Roman" w:cs="Times New Roman"/>
          <w:b/>
          <w:bCs/>
          <w:sz w:val="24"/>
          <w:szCs w:val="24"/>
        </w:rPr>
      </w:pPr>
      <w:r w:rsidRPr="00C73641">
        <w:rPr>
          <w:rFonts w:ascii="Times New Roman" w:hAnsi="Times New Roman" w:cs="Times New Roman"/>
          <w:b/>
          <w:bCs/>
          <w:sz w:val="24"/>
          <w:szCs w:val="24"/>
        </w:rPr>
        <w:t>Département de Sciences Agronomiques et Vétérinaires</w:t>
      </w:r>
    </w:p>
    <w:p w:rsidR="00C73641" w:rsidRPr="00C73641" w:rsidRDefault="00C73641" w:rsidP="00C73641">
      <w:pPr>
        <w:autoSpaceDE w:val="0"/>
        <w:autoSpaceDN w:val="0"/>
        <w:adjustRightInd w:val="0"/>
        <w:spacing w:after="0" w:line="360" w:lineRule="auto"/>
        <w:rPr>
          <w:rFonts w:ascii="Times New Roman" w:hAnsi="Times New Roman" w:cs="Times New Roman"/>
          <w:b/>
          <w:bCs/>
          <w:sz w:val="24"/>
          <w:szCs w:val="24"/>
        </w:rPr>
      </w:pPr>
      <w:r w:rsidRPr="00C73641">
        <w:rPr>
          <w:rFonts w:ascii="Times New Roman" w:hAnsi="Times New Roman" w:cs="Times New Roman"/>
          <w:b/>
          <w:bCs/>
          <w:sz w:val="24"/>
          <w:szCs w:val="24"/>
        </w:rPr>
        <w:t>Spécialité L3 Sol et Eau</w:t>
      </w:r>
    </w:p>
    <w:p w:rsidR="00C73641" w:rsidRDefault="00C73641" w:rsidP="00C73641">
      <w:pPr>
        <w:autoSpaceDE w:val="0"/>
        <w:autoSpaceDN w:val="0"/>
        <w:adjustRightInd w:val="0"/>
        <w:spacing w:after="0" w:line="360" w:lineRule="auto"/>
        <w:rPr>
          <w:rFonts w:ascii="Times New Roman" w:hAnsi="Times New Roman" w:cs="Times New Roman"/>
          <w:b/>
          <w:bCs/>
          <w:sz w:val="24"/>
          <w:szCs w:val="24"/>
        </w:rPr>
      </w:pPr>
      <w:r w:rsidRPr="00C73641">
        <w:rPr>
          <w:rFonts w:ascii="Times New Roman" w:hAnsi="Times New Roman" w:cs="Times New Roman"/>
          <w:b/>
          <w:bCs/>
          <w:sz w:val="24"/>
          <w:szCs w:val="24"/>
        </w:rPr>
        <w:t>A U : 2019/2020</w:t>
      </w:r>
    </w:p>
    <w:p w:rsidR="00C73641" w:rsidRDefault="00C73641" w:rsidP="00C73641">
      <w:pPr>
        <w:autoSpaceDE w:val="0"/>
        <w:autoSpaceDN w:val="0"/>
        <w:adjustRightInd w:val="0"/>
        <w:spacing w:after="0" w:line="360" w:lineRule="auto"/>
        <w:jc w:val="center"/>
        <w:rPr>
          <w:rFonts w:ascii="Times New Roman" w:hAnsi="Times New Roman" w:cs="Times New Roman"/>
          <w:b/>
          <w:bCs/>
          <w:sz w:val="24"/>
          <w:szCs w:val="24"/>
        </w:rPr>
      </w:pPr>
    </w:p>
    <w:p w:rsidR="00C73641" w:rsidRPr="00C73641" w:rsidRDefault="00C73641" w:rsidP="00C73641">
      <w:pPr>
        <w:spacing w:line="360" w:lineRule="auto"/>
        <w:jc w:val="center"/>
        <w:rPr>
          <w:rFonts w:asciiTheme="majorBidi" w:hAnsiTheme="majorBidi" w:cstheme="majorBidi"/>
          <w:sz w:val="24"/>
          <w:szCs w:val="24"/>
        </w:rPr>
      </w:pPr>
      <w:r w:rsidRPr="00C73641">
        <w:rPr>
          <w:rFonts w:asciiTheme="majorBidi" w:hAnsiTheme="majorBidi" w:cstheme="majorBidi"/>
          <w:b/>
          <w:bCs/>
          <w:sz w:val="24"/>
          <w:szCs w:val="24"/>
        </w:rPr>
        <w:t>TP 3 Carbone Orga</w:t>
      </w:r>
      <w:bookmarkStart w:id="0" w:name="_GoBack"/>
      <w:bookmarkEnd w:id="0"/>
      <w:r w:rsidRPr="00C73641">
        <w:rPr>
          <w:rFonts w:asciiTheme="majorBidi" w:hAnsiTheme="majorBidi" w:cstheme="majorBidi"/>
          <w:b/>
          <w:bCs/>
          <w:sz w:val="24"/>
          <w:szCs w:val="24"/>
        </w:rPr>
        <w:t>nique Total (COT)</w:t>
      </w:r>
    </w:p>
    <w:p w:rsidR="00C73641" w:rsidRPr="00C73641" w:rsidRDefault="00C73641" w:rsidP="00C73641">
      <w:pPr>
        <w:spacing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Principe :</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sz w:val="24"/>
          <w:szCs w:val="24"/>
        </w:rPr>
        <w:t>Le carbone organique présent dans l’échantillon est oxydé par du bichromate de potassium en excès, en milieu acide et à 135°C. Le chrome VI (orange) est réduit par la matière organique en chrome III (vert).</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sz w:val="24"/>
          <w:szCs w:val="24"/>
        </w:rPr>
        <w:t>Puis, le chrome III formé est dosé par colorimétrie. En effet, la quantité de chrome III est proportionnelle à la teneur en carbone organique présente dans l’effluent.</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sz w:val="24"/>
          <w:szCs w:val="24"/>
        </w:rPr>
        <w:t>La réaction chimique est la suivante :</w:t>
      </w:r>
    </w:p>
    <w:p w:rsidR="00C73641" w:rsidRDefault="00C73641" w:rsidP="00C73641">
      <w:pPr>
        <w:spacing w:line="360" w:lineRule="auto"/>
        <w:jc w:val="both"/>
        <w:rPr>
          <w:rFonts w:asciiTheme="majorBidi" w:hAnsiTheme="majorBidi" w:cstheme="majorBidi"/>
          <w:sz w:val="24"/>
          <w:szCs w:val="24"/>
          <w:lang w:val="en-US"/>
        </w:rPr>
      </w:pPr>
      <w:r w:rsidRPr="00C73641">
        <w:rPr>
          <w:rFonts w:asciiTheme="majorBidi" w:hAnsiTheme="majorBidi" w:cstheme="majorBidi"/>
          <w:sz w:val="24"/>
          <w:szCs w:val="24"/>
          <w:lang w:val="en-US"/>
        </w:rPr>
        <w:t>2 Cr</w:t>
      </w:r>
      <w:r w:rsidRPr="00C73641">
        <w:rPr>
          <w:rFonts w:asciiTheme="majorBidi" w:hAnsiTheme="majorBidi" w:cstheme="majorBidi"/>
          <w:sz w:val="24"/>
          <w:szCs w:val="24"/>
          <w:vertAlign w:val="subscript"/>
          <w:lang w:val="en-US"/>
        </w:rPr>
        <w:t>2</w:t>
      </w:r>
      <w:r w:rsidRPr="00C73641">
        <w:rPr>
          <w:rFonts w:asciiTheme="majorBidi" w:hAnsiTheme="majorBidi" w:cstheme="majorBidi"/>
          <w:sz w:val="24"/>
          <w:szCs w:val="24"/>
          <w:lang w:val="en-US"/>
        </w:rPr>
        <w:t>O</w:t>
      </w:r>
      <w:r w:rsidRPr="00C73641">
        <w:rPr>
          <w:rFonts w:asciiTheme="majorBidi" w:hAnsiTheme="majorBidi" w:cstheme="majorBidi"/>
          <w:sz w:val="24"/>
          <w:szCs w:val="24"/>
          <w:vertAlign w:val="superscript"/>
          <w:lang w:val="en-US"/>
        </w:rPr>
        <w:t>7-</w:t>
      </w:r>
      <w:r w:rsidRPr="00C73641">
        <w:rPr>
          <w:rFonts w:asciiTheme="majorBidi" w:hAnsiTheme="majorBidi" w:cstheme="majorBidi"/>
          <w:sz w:val="24"/>
          <w:szCs w:val="24"/>
          <w:lang w:val="en-US"/>
        </w:rPr>
        <w:t xml:space="preserve"> + 3 C</w:t>
      </w:r>
      <w:r w:rsidRPr="00C73641">
        <w:rPr>
          <w:rFonts w:asciiTheme="majorBidi" w:hAnsiTheme="majorBidi" w:cstheme="majorBidi"/>
          <w:sz w:val="24"/>
          <w:szCs w:val="24"/>
          <w:vertAlign w:val="superscript"/>
          <w:lang w:val="en-US"/>
        </w:rPr>
        <w:t>0</w:t>
      </w:r>
      <w:r w:rsidRPr="00C73641">
        <w:rPr>
          <w:rFonts w:asciiTheme="majorBidi" w:hAnsiTheme="majorBidi" w:cstheme="majorBidi"/>
          <w:sz w:val="24"/>
          <w:szCs w:val="24"/>
          <w:lang w:val="en-US"/>
        </w:rPr>
        <w:t xml:space="preserve"> + 16 H</w:t>
      </w:r>
      <w:r w:rsidRPr="00C73641">
        <w:rPr>
          <w:rFonts w:asciiTheme="majorBidi" w:hAnsiTheme="majorBidi" w:cstheme="majorBidi"/>
          <w:sz w:val="24"/>
          <w:szCs w:val="24"/>
          <w:vertAlign w:val="superscript"/>
          <w:lang w:val="en-US"/>
        </w:rPr>
        <w:t>+</w:t>
      </w:r>
      <w:r w:rsidRPr="00C73641">
        <w:rPr>
          <w:rFonts w:asciiTheme="majorBidi" w:hAnsiTheme="majorBidi" w:cstheme="majorBidi"/>
          <w:sz w:val="24"/>
          <w:szCs w:val="24"/>
          <w:lang w:val="en-US"/>
        </w:rPr>
        <w:t xml:space="preserve"> → 4 Cr</w:t>
      </w:r>
      <w:r w:rsidRPr="00C73641">
        <w:rPr>
          <w:rFonts w:asciiTheme="majorBidi" w:hAnsiTheme="majorBidi" w:cstheme="majorBidi"/>
          <w:sz w:val="24"/>
          <w:szCs w:val="24"/>
          <w:vertAlign w:val="superscript"/>
          <w:lang w:val="en-US"/>
        </w:rPr>
        <w:t>+</w:t>
      </w:r>
      <w:r w:rsidRPr="00C73641">
        <w:rPr>
          <w:rFonts w:asciiTheme="majorBidi" w:hAnsiTheme="majorBidi" w:cstheme="majorBidi"/>
          <w:sz w:val="24"/>
          <w:szCs w:val="24"/>
          <w:lang w:val="en-US"/>
        </w:rPr>
        <w:t xml:space="preserve"> + 3 CO</w:t>
      </w:r>
      <w:r w:rsidRPr="00C73641">
        <w:rPr>
          <w:rFonts w:asciiTheme="majorBidi" w:hAnsiTheme="majorBidi" w:cstheme="majorBidi"/>
          <w:sz w:val="24"/>
          <w:szCs w:val="24"/>
          <w:vertAlign w:val="subscript"/>
          <w:lang w:val="en-US"/>
        </w:rPr>
        <w:t>2</w:t>
      </w:r>
      <w:r w:rsidRPr="00C73641">
        <w:rPr>
          <w:rFonts w:asciiTheme="majorBidi" w:hAnsiTheme="majorBidi" w:cstheme="majorBidi"/>
          <w:sz w:val="24"/>
          <w:szCs w:val="24"/>
          <w:lang w:val="en-US"/>
        </w:rPr>
        <w:t xml:space="preserve"> + 8 H</w:t>
      </w:r>
      <w:r w:rsidRPr="00C73641">
        <w:rPr>
          <w:rFonts w:asciiTheme="majorBidi" w:hAnsiTheme="majorBidi" w:cstheme="majorBidi"/>
          <w:sz w:val="24"/>
          <w:szCs w:val="24"/>
          <w:vertAlign w:val="subscript"/>
          <w:lang w:val="en-US"/>
        </w:rPr>
        <w:t>2</w:t>
      </w:r>
      <w:r w:rsidRPr="00C73641">
        <w:rPr>
          <w:rFonts w:asciiTheme="majorBidi" w:hAnsiTheme="majorBidi" w:cstheme="majorBidi"/>
          <w:sz w:val="24"/>
          <w:szCs w:val="24"/>
          <w:lang w:val="en-US"/>
        </w:rPr>
        <w:t>O</w:t>
      </w:r>
    </w:p>
    <w:p w:rsidR="00C73641" w:rsidRPr="00C73641" w:rsidRDefault="00C73641" w:rsidP="00C73641">
      <w:pPr>
        <w:spacing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Mode opératoire :</w:t>
      </w:r>
    </w:p>
    <w:p w:rsidR="00C73641" w:rsidRPr="00C73641" w:rsidRDefault="00C73641" w:rsidP="00C73641">
      <w:pPr>
        <w:spacing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Prise d’essai :</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sz w:val="24"/>
          <w:szCs w:val="24"/>
        </w:rPr>
        <w:t>Celle-ci est déterminée en fonction de la teneur présumée en carbone :</w:t>
      </w:r>
    </w:p>
    <w:p w:rsidR="00C73641" w:rsidRPr="00C73641" w:rsidRDefault="00C73641" w:rsidP="00C73641">
      <w:pPr>
        <w:spacing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 xml:space="preserve">Tableau 9 Volume de l’échantillon à analyser en fonction de la teneur présumée en COT </w:t>
      </w:r>
    </w:p>
    <w:tbl>
      <w:tblPr>
        <w:tblStyle w:val="Grilledutableau"/>
        <w:tblW w:w="0" w:type="auto"/>
        <w:tblLook w:val="04A0" w:firstRow="1" w:lastRow="0" w:firstColumn="1" w:lastColumn="0" w:noHBand="0" w:noVBand="1"/>
      </w:tblPr>
      <w:tblGrid>
        <w:gridCol w:w="2235"/>
        <w:gridCol w:w="1559"/>
        <w:gridCol w:w="1276"/>
        <w:gridCol w:w="1417"/>
        <w:gridCol w:w="1418"/>
        <w:gridCol w:w="1307"/>
      </w:tblGrid>
      <w:tr w:rsidR="00C73641" w:rsidRPr="00C73641" w:rsidTr="00C12836">
        <w:tc>
          <w:tcPr>
            <w:tcW w:w="2235" w:type="dxa"/>
            <w:vAlign w:val="center"/>
          </w:tcPr>
          <w:p w:rsidR="00C73641" w:rsidRPr="00C73641" w:rsidRDefault="00C73641" w:rsidP="00C73641">
            <w:pPr>
              <w:spacing w:after="200"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Teneur présumée en</w:t>
            </w:r>
          </w:p>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b/>
                <w:bCs/>
                <w:sz w:val="24"/>
                <w:szCs w:val="24"/>
              </w:rPr>
              <w:t>Carbone (mg/L)</w:t>
            </w:r>
          </w:p>
        </w:tc>
        <w:tc>
          <w:tcPr>
            <w:tcW w:w="1559"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≤40</w:t>
            </w:r>
          </w:p>
        </w:tc>
        <w:tc>
          <w:tcPr>
            <w:tcW w:w="1276"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41-79</w:t>
            </w:r>
          </w:p>
        </w:tc>
        <w:tc>
          <w:tcPr>
            <w:tcW w:w="1417"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80-160</w:t>
            </w:r>
          </w:p>
        </w:tc>
        <w:tc>
          <w:tcPr>
            <w:tcW w:w="1418"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161-399</w:t>
            </w:r>
          </w:p>
        </w:tc>
        <w:tc>
          <w:tcPr>
            <w:tcW w:w="1307"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≥400</w:t>
            </w:r>
          </w:p>
        </w:tc>
      </w:tr>
      <w:tr w:rsidR="00C73641" w:rsidRPr="00C73641" w:rsidTr="00C12836">
        <w:tc>
          <w:tcPr>
            <w:tcW w:w="2235" w:type="dxa"/>
            <w:vAlign w:val="center"/>
          </w:tcPr>
          <w:p w:rsidR="00C73641" w:rsidRPr="00C73641" w:rsidRDefault="00C73641" w:rsidP="00C73641">
            <w:pPr>
              <w:spacing w:after="200"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Volume de la prise</w:t>
            </w:r>
          </w:p>
          <w:p w:rsidR="00C73641" w:rsidRPr="00C73641" w:rsidRDefault="00C73641" w:rsidP="00C73641">
            <w:pPr>
              <w:spacing w:after="200"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d’essai</w:t>
            </w:r>
          </w:p>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w:t>
            </w:r>
            <w:proofErr w:type="spellStart"/>
            <w:r w:rsidRPr="00C73641">
              <w:rPr>
                <w:rFonts w:asciiTheme="majorBidi" w:hAnsiTheme="majorBidi" w:cstheme="majorBidi"/>
                <w:sz w:val="24"/>
                <w:szCs w:val="24"/>
              </w:rPr>
              <w:t>mL</w:t>
            </w:r>
            <w:proofErr w:type="spellEnd"/>
            <w:r w:rsidRPr="00C73641">
              <w:rPr>
                <w:rFonts w:asciiTheme="majorBidi" w:hAnsiTheme="majorBidi" w:cstheme="majorBidi"/>
                <w:sz w:val="24"/>
                <w:szCs w:val="24"/>
              </w:rPr>
              <w:t>)</w:t>
            </w:r>
          </w:p>
        </w:tc>
        <w:tc>
          <w:tcPr>
            <w:tcW w:w="1559"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400-500</w:t>
            </w:r>
          </w:p>
        </w:tc>
        <w:tc>
          <w:tcPr>
            <w:tcW w:w="1276"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200-250</w:t>
            </w:r>
          </w:p>
        </w:tc>
        <w:tc>
          <w:tcPr>
            <w:tcW w:w="1417"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100-125</w:t>
            </w:r>
          </w:p>
        </w:tc>
        <w:tc>
          <w:tcPr>
            <w:tcW w:w="1418"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45-50</w:t>
            </w:r>
          </w:p>
        </w:tc>
        <w:tc>
          <w:tcPr>
            <w:tcW w:w="1307" w:type="dxa"/>
            <w:vAlign w:val="center"/>
          </w:tcPr>
          <w:p w:rsidR="00C73641" w:rsidRPr="00C73641" w:rsidRDefault="00C73641" w:rsidP="00C73641">
            <w:pPr>
              <w:spacing w:after="200" w:line="360" w:lineRule="auto"/>
              <w:jc w:val="both"/>
              <w:rPr>
                <w:rFonts w:asciiTheme="majorBidi" w:hAnsiTheme="majorBidi" w:cstheme="majorBidi"/>
                <w:sz w:val="24"/>
                <w:szCs w:val="24"/>
              </w:rPr>
            </w:pPr>
            <w:r w:rsidRPr="00C73641">
              <w:rPr>
                <w:rFonts w:asciiTheme="majorBidi" w:hAnsiTheme="majorBidi" w:cstheme="majorBidi"/>
                <w:sz w:val="24"/>
                <w:szCs w:val="24"/>
              </w:rPr>
              <w:t>20-25</w:t>
            </w:r>
          </w:p>
        </w:tc>
      </w:tr>
    </w:tbl>
    <w:p w:rsidR="00C73641" w:rsidRPr="00C73641" w:rsidRDefault="00C73641" w:rsidP="00C73641">
      <w:pPr>
        <w:spacing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Oxydation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lastRenderedPageBreak/>
        <w:t>Introduire la prise d’essai dans un tube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Au moyen des distributeurs, ajouter respectivement 5 ml de solution de bichromate, puis 7,5 ml d’acide sulfurique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Homogénéiser soigneusement avec l’agitateur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Placer les tubes dans le bloc chauffant et laisser réagir 30 min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Retirer les tubes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Ajouter 50 ml d’eau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Refroidir dans un bain d’eau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Ajuster à 75 ml avec de l’eau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Homogénéiser et laisser décanter 1 h ;</w:t>
      </w:r>
    </w:p>
    <w:p w:rsidR="00C73641" w:rsidRPr="00C73641" w:rsidRDefault="00C73641" w:rsidP="00C73641">
      <w:pPr>
        <w:numPr>
          <w:ilvl w:val="0"/>
          <w:numId w:val="1"/>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Centrifuger une partie du surnageant à 2000 Tr pendant 10 min.</w:t>
      </w:r>
    </w:p>
    <w:p w:rsidR="00C73641" w:rsidRPr="00C73641" w:rsidRDefault="00C73641" w:rsidP="00C73641">
      <w:pPr>
        <w:spacing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 xml:space="preserve">Dosage </w:t>
      </w:r>
      <w:proofErr w:type="spellStart"/>
      <w:r w:rsidRPr="00C73641">
        <w:rPr>
          <w:rFonts w:asciiTheme="majorBidi" w:hAnsiTheme="majorBidi" w:cstheme="majorBidi"/>
          <w:b/>
          <w:bCs/>
          <w:sz w:val="24"/>
          <w:szCs w:val="24"/>
        </w:rPr>
        <w:t>spectrophotométrique</w:t>
      </w:r>
      <w:proofErr w:type="spellEnd"/>
      <w:r w:rsidRPr="00C73641">
        <w:rPr>
          <w:rFonts w:asciiTheme="majorBidi" w:hAnsiTheme="majorBidi" w:cstheme="majorBidi"/>
          <w:b/>
          <w:bCs/>
          <w:sz w:val="24"/>
          <w:szCs w:val="24"/>
        </w:rPr>
        <w:t> :</w:t>
      </w:r>
    </w:p>
    <w:p w:rsidR="00C73641" w:rsidRPr="00C73641" w:rsidRDefault="00C73641" w:rsidP="00C73641">
      <w:pPr>
        <w:numPr>
          <w:ilvl w:val="0"/>
          <w:numId w:val="2"/>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 xml:space="preserve">Etalonner le </w:t>
      </w:r>
      <w:proofErr w:type="spellStart"/>
      <w:r w:rsidRPr="00C73641">
        <w:rPr>
          <w:rFonts w:asciiTheme="majorBidi" w:hAnsiTheme="majorBidi" w:cstheme="majorBidi"/>
          <w:sz w:val="24"/>
          <w:szCs w:val="24"/>
        </w:rPr>
        <w:t>spectrocolorimètre</w:t>
      </w:r>
      <w:proofErr w:type="spellEnd"/>
      <w:r w:rsidRPr="00C73641">
        <w:rPr>
          <w:rFonts w:asciiTheme="majorBidi" w:hAnsiTheme="majorBidi" w:cstheme="majorBidi"/>
          <w:sz w:val="24"/>
          <w:szCs w:val="24"/>
        </w:rPr>
        <w:t xml:space="preserve"> avec du glucose (C</w:t>
      </w:r>
      <w:r w:rsidRPr="00C73641">
        <w:rPr>
          <w:rFonts w:asciiTheme="majorBidi" w:hAnsiTheme="majorBidi" w:cstheme="majorBidi"/>
          <w:sz w:val="24"/>
          <w:szCs w:val="24"/>
          <w:vertAlign w:val="subscript"/>
        </w:rPr>
        <w:t>6</w:t>
      </w:r>
      <w:r w:rsidRPr="00C73641">
        <w:rPr>
          <w:rFonts w:asciiTheme="majorBidi" w:hAnsiTheme="majorBidi" w:cstheme="majorBidi"/>
          <w:sz w:val="24"/>
          <w:szCs w:val="24"/>
        </w:rPr>
        <w:t>H</w:t>
      </w:r>
      <w:r w:rsidRPr="00C73641">
        <w:rPr>
          <w:rFonts w:asciiTheme="majorBidi" w:hAnsiTheme="majorBidi" w:cstheme="majorBidi"/>
          <w:sz w:val="24"/>
          <w:szCs w:val="24"/>
          <w:vertAlign w:val="subscript"/>
        </w:rPr>
        <w:t>12</w:t>
      </w:r>
      <w:r w:rsidRPr="00C73641">
        <w:rPr>
          <w:rFonts w:asciiTheme="majorBidi" w:hAnsiTheme="majorBidi" w:cstheme="majorBidi"/>
          <w:sz w:val="24"/>
          <w:szCs w:val="24"/>
        </w:rPr>
        <w:t>O</w:t>
      </w:r>
      <w:r w:rsidRPr="00C73641">
        <w:rPr>
          <w:rFonts w:asciiTheme="majorBidi" w:hAnsiTheme="majorBidi" w:cstheme="majorBidi"/>
          <w:sz w:val="24"/>
          <w:szCs w:val="24"/>
          <w:vertAlign w:val="subscript"/>
        </w:rPr>
        <w:t>6</w:t>
      </w:r>
      <w:r w:rsidRPr="00C73641">
        <w:rPr>
          <w:rFonts w:asciiTheme="majorBidi" w:hAnsiTheme="majorBidi" w:cstheme="majorBidi"/>
          <w:sz w:val="24"/>
          <w:szCs w:val="24"/>
        </w:rPr>
        <w:t>)</w:t>
      </w:r>
    </w:p>
    <w:p w:rsidR="00C73641" w:rsidRPr="00C73641" w:rsidRDefault="00C73641" w:rsidP="00C73641">
      <w:pPr>
        <w:numPr>
          <w:ilvl w:val="0"/>
          <w:numId w:val="2"/>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 xml:space="preserve">Régler le </w:t>
      </w:r>
      <w:proofErr w:type="spellStart"/>
      <w:r w:rsidRPr="00C73641">
        <w:rPr>
          <w:rFonts w:asciiTheme="majorBidi" w:hAnsiTheme="majorBidi" w:cstheme="majorBidi"/>
          <w:sz w:val="24"/>
          <w:szCs w:val="24"/>
        </w:rPr>
        <w:t>spectrocolorimètre</w:t>
      </w:r>
      <w:proofErr w:type="spellEnd"/>
      <w:r w:rsidRPr="00C73641">
        <w:rPr>
          <w:rFonts w:asciiTheme="majorBidi" w:hAnsiTheme="majorBidi" w:cstheme="majorBidi"/>
          <w:sz w:val="24"/>
          <w:szCs w:val="24"/>
        </w:rPr>
        <w:t xml:space="preserve"> sur une longueur d’onde de 585 nm</w:t>
      </w:r>
    </w:p>
    <w:p w:rsidR="00C73641" w:rsidRPr="00C73641" w:rsidRDefault="00C73641" w:rsidP="00C73641">
      <w:pPr>
        <w:numPr>
          <w:ilvl w:val="0"/>
          <w:numId w:val="2"/>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Passer la gamme d’étalonnage, puis les essais</w:t>
      </w:r>
    </w:p>
    <w:p w:rsidR="00C73641" w:rsidRPr="00C73641" w:rsidRDefault="00C73641" w:rsidP="00C73641">
      <w:pPr>
        <w:numPr>
          <w:ilvl w:val="0"/>
          <w:numId w:val="2"/>
        </w:numPr>
        <w:spacing w:line="360" w:lineRule="auto"/>
        <w:jc w:val="both"/>
        <w:rPr>
          <w:rFonts w:asciiTheme="majorBidi" w:hAnsiTheme="majorBidi" w:cstheme="majorBidi"/>
          <w:sz w:val="24"/>
          <w:szCs w:val="24"/>
        </w:rPr>
      </w:pPr>
      <w:r w:rsidRPr="00C73641">
        <w:rPr>
          <w:rFonts w:asciiTheme="majorBidi" w:hAnsiTheme="majorBidi" w:cstheme="majorBidi"/>
          <w:sz w:val="24"/>
          <w:szCs w:val="24"/>
        </w:rPr>
        <w:t>Déterminer la fonction d’étalonnage et calculer les concentrations en carbone de chaque essai</w:t>
      </w:r>
    </w:p>
    <w:p w:rsidR="00C73641" w:rsidRPr="00C73641" w:rsidRDefault="00C73641" w:rsidP="00C73641">
      <w:pPr>
        <w:spacing w:line="360" w:lineRule="auto"/>
        <w:jc w:val="both"/>
        <w:rPr>
          <w:rFonts w:asciiTheme="majorBidi" w:hAnsiTheme="majorBidi" w:cstheme="majorBidi"/>
          <w:b/>
          <w:bCs/>
          <w:sz w:val="24"/>
          <w:szCs w:val="24"/>
        </w:rPr>
      </w:pPr>
      <w:r w:rsidRPr="00C73641">
        <w:rPr>
          <w:rFonts w:asciiTheme="majorBidi" w:hAnsiTheme="majorBidi" w:cstheme="majorBidi"/>
          <w:b/>
          <w:bCs/>
          <w:sz w:val="24"/>
          <w:szCs w:val="24"/>
        </w:rPr>
        <w:t>Discussion :</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sz w:val="24"/>
          <w:szCs w:val="24"/>
        </w:rPr>
        <w:t>La méthode par voie humide s’adapte quasiment à tous types d’effluents, nécessite un équipement en matériels et réactifs peu coûteux, permet l’analyse possible d’un grand nombre d’échantillons (une centaine) dans la journée et la verrerie est réutilisable après son nettoyage.</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sz w:val="24"/>
          <w:szCs w:val="24"/>
        </w:rPr>
        <w:t xml:space="preserve">Cependant, des risques de brûlures et de réactions allergiques existent, respectivement, de </w:t>
      </w:r>
      <w:proofErr w:type="spellStart"/>
      <w:r w:rsidRPr="00C73641">
        <w:rPr>
          <w:rFonts w:asciiTheme="majorBidi" w:hAnsiTheme="majorBidi" w:cstheme="majorBidi"/>
          <w:sz w:val="24"/>
          <w:szCs w:val="24"/>
        </w:rPr>
        <w:t>part</w:t>
      </w:r>
      <w:proofErr w:type="spellEnd"/>
      <w:r w:rsidRPr="00C73641">
        <w:rPr>
          <w:rFonts w:asciiTheme="majorBidi" w:hAnsiTheme="majorBidi" w:cstheme="majorBidi"/>
          <w:sz w:val="24"/>
          <w:szCs w:val="24"/>
        </w:rPr>
        <w:t xml:space="preserve"> la manipulation d’acide sulfurique concentré et de bichromate de potassium. Etant donné les risques d’hygiène et sécurité, l’application de cette méthode est restreinte aux personnels titulaires.</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sz w:val="24"/>
          <w:szCs w:val="24"/>
        </w:rPr>
        <w:lastRenderedPageBreak/>
        <w:t xml:space="preserve">L’ajustement de la prise d’essai correspond à une estimation visuelle de la teneur en carbone, ce qui implique d’éventuelles reprises d’échantillons à posteriori d’où une perte de temps. Les grands volumes de déchets d’extraits </w:t>
      </w:r>
      <w:proofErr w:type="spellStart"/>
      <w:r w:rsidRPr="00C73641">
        <w:rPr>
          <w:rFonts w:asciiTheme="majorBidi" w:hAnsiTheme="majorBidi" w:cstheme="majorBidi"/>
          <w:sz w:val="24"/>
          <w:szCs w:val="24"/>
        </w:rPr>
        <w:t>sulfochromiques</w:t>
      </w:r>
      <w:proofErr w:type="spellEnd"/>
      <w:r w:rsidRPr="00C73641">
        <w:rPr>
          <w:rFonts w:asciiTheme="majorBidi" w:hAnsiTheme="majorBidi" w:cstheme="majorBidi"/>
          <w:sz w:val="24"/>
          <w:szCs w:val="24"/>
        </w:rPr>
        <w:t xml:space="preserve"> doivent être stockés avant leur élimination. Enfin, il est indispensable d’investir dans un système d’aspiration performant pour évacuer les émanations d’acide sulfurique dans l’atmosphère ce qui génère une pollution.</w:t>
      </w:r>
    </w:p>
    <w:p w:rsidR="00C73641" w:rsidRPr="00C73641" w:rsidRDefault="00C73641" w:rsidP="00C73641">
      <w:pPr>
        <w:spacing w:line="360" w:lineRule="auto"/>
        <w:jc w:val="both"/>
        <w:rPr>
          <w:rFonts w:asciiTheme="majorBidi" w:hAnsiTheme="majorBidi" w:cstheme="majorBidi"/>
          <w:sz w:val="24"/>
          <w:szCs w:val="24"/>
        </w:rPr>
      </w:pPr>
      <w:r w:rsidRPr="00C73641">
        <w:rPr>
          <w:rFonts w:asciiTheme="majorBidi" w:hAnsiTheme="majorBidi" w:cstheme="majorBidi"/>
          <w:b/>
          <w:bCs/>
          <w:sz w:val="24"/>
          <w:szCs w:val="24"/>
        </w:rPr>
        <w:t xml:space="preserve">N.B : </w:t>
      </w:r>
      <w:r w:rsidRPr="00C73641">
        <w:rPr>
          <w:rFonts w:asciiTheme="majorBidi" w:hAnsiTheme="majorBidi" w:cstheme="majorBidi"/>
          <w:sz w:val="24"/>
          <w:szCs w:val="24"/>
        </w:rPr>
        <w:t>Cette méthode permet le dosage direct du carbone organique mais présente des risques d’hygiène et de sécurité du fait de la manipulation de bichromates polluants et très allergisants.</w:t>
      </w:r>
    </w:p>
    <w:p w:rsidR="00FF0123" w:rsidRPr="00C73641" w:rsidRDefault="00FF0123" w:rsidP="00C73641">
      <w:pPr>
        <w:spacing w:line="360" w:lineRule="auto"/>
        <w:jc w:val="both"/>
        <w:rPr>
          <w:rFonts w:asciiTheme="majorBidi" w:hAnsiTheme="majorBidi" w:cstheme="majorBidi"/>
          <w:sz w:val="24"/>
          <w:szCs w:val="24"/>
        </w:rPr>
      </w:pPr>
    </w:p>
    <w:sectPr w:rsidR="00FF0123" w:rsidRPr="00C73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B1C2A"/>
    <w:multiLevelType w:val="hybridMultilevel"/>
    <w:tmpl w:val="209EA7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570A92"/>
    <w:multiLevelType w:val="hybridMultilevel"/>
    <w:tmpl w:val="759673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41"/>
    <w:rsid w:val="003A0A52"/>
    <w:rsid w:val="00C73641"/>
    <w:rsid w:val="00D22322"/>
    <w:rsid w:val="00FF01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7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465</Words>
  <Characters>2562</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 Mohamed</dc:creator>
  <cp:lastModifiedBy>Hachi Mohamed</cp:lastModifiedBy>
  <cp:revision>1</cp:revision>
  <dcterms:created xsi:type="dcterms:W3CDTF">2020-03-23T11:13:00Z</dcterms:created>
  <dcterms:modified xsi:type="dcterms:W3CDTF">2020-03-23T11:23:00Z</dcterms:modified>
</cp:coreProperties>
</file>