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515" w:rsidRPr="00461515" w:rsidRDefault="00461515" w:rsidP="00461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sz w:val="24"/>
          <w:szCs w:val="24"/>
          <w:u w:val="single"/>
          <w:lang w:eastAsia="fr-FR"/>
        </w:rPr>
      </w:pPr>
      <w:r w:rsidRPr="00461515">
        <w:rPr>
          <w:rFonts w:ascii="Times New Roman" w:eastAsia="Times New Roman" w:hAnsi="Times New Roman" w:cs="Times New Roman"/>
          <w:b/>
          <w:bCs/>
          <w:sz w:val="24"/>
          <w:szCs w:val="24"/>
          <w:u w:val="single"/>
          <w:lang w:eastAsia="fr-FR"/>
        </w:rPr>
        <w:t>Erythrocytes aviaires</w:t>
      </w:r>
    </w:p>
    <w:p w:rsidR="00461515" w:rsidRPr="00461515" w:rsidRDefault="00461515" w:rsidP="00461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fr-FR"/>
        </w:rPr>
      </w:pPr>
      <w:r w:rsidRPr="00461515">
        <w:rPr>
          <w:rFonts w:ascii="Times New Roman" w:eastAsia="Times New Roman" w:hAnsi="Times New Roman" w:cs="Times New Roman"/>
          <w:sz w:val="24"/>
          <w:szCs w:val="24"/>
          <w:lang w:eastAsia="fr-FR"/>
        </w:rPr>
        <w:t xml:space="preserve">Les érythrocytes aviaires doivent être évalués en fonction de la </w:t>
      </w:r>
      <w:r w:rsidRPr="00461515">
        <w:rPr>
          <w:rFonts w:ascii="Times New Roman" w:eastAsia="Times New Roman" w:hAnsi="Times New Roman" w:cs="Times New Roman"/>
          <w:b/>
          <w:bCs/>
          <w:sz w:val="24"/>
          <w:szCs w:val="24"/>
          <w:lang w:eastAsia="fr-FR"/>
        </w:rPr>
        <w:t>taille</w:t>
      </w:r>
      <w:r w:rsidRPr="00461515">
        <w:rPr>
          <w:rFonts w:ascii="Times New Roman" w:eastAsia="Times New Roman" w:hAnsi="Times New Roman" w:cs="Times New Roman"/>
          <w:sz w:val="24"/>
          <w:szCs w:val="24"/>
          <w:lang w:eastAsia="fr-FR"/>
        </w:rPr>
        <w:t xml:space="preserve">, de la </w:t>
      </w:r>
      <w:r w:rsidRPr="00461515">
        <w:rPr>
          <w:rFonts w:ascii="Times New Roman" w:eastAsia="Times New Roman" w:hAnsi="Times New Roman" w:cs="Times New Roman"/>
          <w:b/>
          <w:bCs/>
          <w:sz w:val="24"/>
          <w:szCs w:val="24"/>
          <w:lang w:eastAsia="fr-FR"/>
        </w:rPr>
        <w:t>forme</w:t>
      </w:r>
      <w:r w:rsidRPr="00461515">
        <w:rPr>
          <w:rFonts w:ascii="Times New Roman" w:eastAsia="Times New Roman" w:hAnsi="Times New Roman" w:cs="Times New Roman"/>
          <w:sz w:val="24"/>
          <w:szCs w:val="24"/>
          <w:lang w:eastAsia="fr-FR"/>
        </w:rPr>
        <w:t xml:space="preserve">, de la </w:t>
      </w:r>
      <w:r w:rsidRPr="00461515">
        <w:rPr>
          <w:rFonts w:ascii="Times New Roman" w:eastAsia="Times New Roman" w:hAnsi="Times New Roman" w:cs="Times New Roman"/>
          <w:b/>
          <w:bCs/>
          <w:sz w:val="24"/>
          <w:szCs w:val="24"/>
          <w:lang w:eastAsia="fr-FR"/>
        </w:rPr>
        <w:t>couleur</w:t>
      </w:r>
      <w:r w:rsidRPr="00461515">
        <w:rPr>
          <w:rFonts w:ascii="Times New Roman" w:eastAsia="Times New Roman" w:hAnsi="Times New Roman" w:cs="Times New Roman"/>
          <w:sz w:val="24"/>
          <w:szCs w:val="24"/>
          <w:lang w:eastAsia="fr-FR"/>
        </w:rPr>
        <w:t xml:space="preserve">, du </w:t>
      </w:r>
      <w:r w:rsidRPr="00461515">
        <w:rPr>
          <w:rFonts w:ascii="Times New Roman" w:eastAsia="Times New Roman" w:hAnsi="Times New Roman" w:cs="Times New Roman"/>
          <w:b/>
          <w:bCs/>
          <w:sz w:val="24"/>
          <w:szCs w:val="24"/>
          <w:lang w:eastAsia="fr-FR"/>
        </w:rPr>
        <w:t>noyau</w:t>
      </w:r>
      <w:r w:rsidRPr="00461515">
        <w:rPr>
          <w:rFonts w:ascii="Times New Roman" w:eastAsia="Times New Roman" w:hAnsi="Times New Roman" w:cs="Times New Roman"/>
          <w:sz w:val="24"/>
          <w:szCs w:val="24"/>
          <w:lang w:eastAsia="fr-FR"/>
        </w:rPr>
        <w:t xml:space="preserve"> et de la </w:t>
      </w:r>
      <w:r w:rsidRPr="00461515">
        <w:rPr>
          <w:rFonts w:ascii="Times New Roman" w:eastAsia="Times New Roman" w:hAnsi="Times New Roman" w:cs="Times New Roman"/>
          <w:b/>
          <w:bCs/>
          <w:sz w:val="24"/>
          <w:szCs w:val="24"/>
          <w:lang w:eastAsia="fr-FR"/>
        </w:rPr>
        <w:t>présence d'inclusions cellulaires</w:t>
      </w:r>
      <w:r w:rsidRPr="00461515">
        <w:rPr>
          <w:rFonts w:ascii="Times New Roman" w:eastAsia="Times New Roman" w:hAnsi="Times New Roman" w:cs="Times New Roman"/>
          <w:sz w:val="24"/>
          <w:szCs w:val="24"/>
          <w:lang w:eastAsia="fr-FR"/>
        </w:rPr>
        <w:t>.</w:t>
      </w:r>
    </w:p>
    <w:p w:rsidR="001B06F5" w:rsidRPr="001B06F5" w:rsidRDefault="001B06F5" w:rsidP="001B06F5">
      <w:pPr>
        <w:pStyle w:val="PrformatHTML"/>
        <w:spacing w:line="360" w:lineRule="auto"/>
        <w:jc w:val="both"/>
        <w:rPr>
          <w:rFonts w:ascii="Times New Roman" w:hAnsi="Times New Roman" w:cs="Times New Roman"/>
          <w:sz w:val="24"/>
          <w:szCs w:val="24"/>
        </w:rPr>
      </w:pPr>
      <w:r w:rsidRPr="001B06F5">
        <w:rPr>
          <w:rFonts w:ascii="Times New Roman" w:hAnsi="Times New Roman" w:cs="Times New Roman"/>
          <w:sz w:val="24"/>
          <w:szCs w:val="24"/>
        </w:rPr>
        <w:t>Les érythrocytes aviaires matures sont généralement plus gros que les érythrocytes de mammifère mais plus petits que les érythrocytes reptiliens.</w:t>
      </w:r>
    </w:p>
    <w:p w:rsidR="001B06F5" w:rsidRPr="001B06F5" w:rsidRDefault="001B06F5" w:rsidP="001B06F5">
      <w:pPr>
        <w:pStyle w:val="PrformatHTML"/>
        <w:spacing w:line="360" w:lineRule="auto"/>
        <w:jc w:val="both"/>
        <w:rPr>
          <w:rFonts w:ascii="Times New Roman" w:hAnsi="Times New Roman" w:cs="Times New Roman"/>
          <w:sz w:val="24"/>
          <w:szCs w:val="24"/>
        </w:rPr>
      </w:pPr>
      <w:r w:rsidRPr="001B06F5">
        <w:rPr>
          <w:rFonts w:ascii="Times New Roman" w:hAnsi="Times New Roman" w:cs="Times New Roman"/>
          <w:sz w:val="24"/>
          <w:szCs w:val="24"/>
        </w:rPr>
        <w:t xml:space="preserve">La taille des érythrocytes aviaires varie selon les espèces, mais ils varient généralement entre </w:t>
      </w:r>
      <w:r w:rsidRPr="001B06F5">
        <w:rPr>
          <w:rFonts w:ascii="Times New Roman" w:hAnsi="Times New Roman" w:cs="Times New Roman"/>
          <w:b/>
          <w:bCs/>
          <w:sz w:val="24"/>
          <w:szCs w:val="24"/>
        </w:rPr>
        <w:t>10,7 × 6,1 µm</w:t>
      </w:r>
      <w:r w:rsidRPr="001B06F5">
        <w:rPr>
          <w:rFonts w:ascii="Times New Roman" w:hAnsi="Times New Roman" w:cs="Times New Roman"/>
          <w:sz w:val="24"/>
          <w:szCs w:val="24"/>
        </w:rPr>
        <w:t xml:space="preserve"> et </w:t>
      </w:r>
      <w:r w:rsidRPr="001B06F5">
        <w:rPr>
          <w:rFonts w:ascii="Times New Roman" w:hAnsi="Times New Roman" w:cs="Times New Roman"/>
          <w:b/>
          <w:bCs/>
          <w:sz w:val="24"/>
          <w:szCs w:val="24"/>
        </w:rPr>
        <w:t>15,8 × 10,2 µm</w:t>
      </w:r>
      <w:r w:rsidRPr="001B06F5">
        <w:rPr>
          <w:rFonts w:ascii="Times New Roman" w:hAnsi="Times New Roman" w:cs="Times New Roman"/>
          <w:sz w:val="24"/>
          <w:szCs w:val="24"/>
        </w:rPr>
        <w:t>.</w:t>
      </w:r>
    </w:p>
    <w:p w:rsidR="007E51BF" w:rsidRDefault="007E51BF" w:rsidP="007E51BF">
      <w:pPr>
        <w:pStyle w:val="PrformatHTML"/>
        <w:spacing w:line="360" w:lineRule="auto"/>
        <w:jc w:val="both"/>
        <w:rPr>
          <w:rFonts w:ascii="Times New Roman" w:hAnsi="Times New Roman" w:cs="Times New Roman"/>
          <w:sz w:val="24"/>
          <w:szCs w:val="24"/>
        </w:rPr>
      </w:pPr>
      <w:r w:rsidRPr="007E51BF">
        <w:rPr>
          <w:rFonts w:ascii="Times New Roman" w:hAnsi="Times New Roman" w:cs="Times New Roman"/>
          <w:sz w:val="24"/>
          <w:szCs w:val="24"/>
        </w:rPr>
        <w:t xml:space="preserve">Les érythrocytes de </w:t>
      </w:r>
      <w:r w:rsidRPr="007E51BF">
        <w:rPr>
          <w:rFonts w:ascii="Times New Roman" w:hAnsi="Times New Roman" w:cs="Times New Roman"/>
          <w:b/>
          <w:bCs/>
          <w:sz w:val="24"/>
          <w:szCs w:val="24"/>
        </w:rPr>
        <w:t>cailles Coturnix</w:t>
      </w:r>
      <w:r w:rsidRPr="007E51BF">
        <w:rPr>
          <w:rFonts w:ascii="Times New Roman" w:hAnsi="Times New Roman" w:cs="Times New Roman"/>
          <w:sz w:val="24"/>
          <w:szCs w:val="24"/>
        </w:rPr>
        <w:t xml:space="preserve"> </w:t>
      </w:r>
      <w:r w:rsidRPr="007E51BF">
        <w:rPr>
          <w:rFonts w:ascii="Times New Roman" w:hAnsi="Times New Roman" w:cs="Times New Roman"/>
          <w:b/>
          <w:bCs/>
          <w:sz w:val="24"/>
          <w:szCs w:val="24"/>
        </w:rPr>
        <w:t>adultes</w:t>
      </w:r>
      <w:r w:rsidRPr="007E51BF">
        <w:rPr>
          <w:rFonts w:ascii="Times New Roman" w:hAnsi="Times New Roman" w:cs="Times New Roman"/>
          <w:sz w:val="24"/>
          <w:szCs w:val="24"/>
        </w:rPr>
        <w:t xml:space="preserve"> mesurent par exemple 11,06 ± 0,70 µm de long et 6,80 ± 0,67 µm de large chez les mâles et 11,40 ± 0,63 µm de long et 6,73 ± 0,45 µm de large chez les femelles.</w:t>
      </w:r>
    </w:p>
    <w:p w:rsidR="00FE6043" w:rsidRPr="00FE6043" w:rsidRDefault="00FE6043" w:rsidP="00FE6043">
      <w:pPr>
        <w:pStyle w:val="PrformatHTML"/>
        <w:spacing w:line="360" w:lineRule="auto"/>
        <w:jc w:val="both"/>
        <w:rPr>
          <w:rFonts w:ascii="Times New Roman" w:hAnsi="Times New Roman" w:cs="Times New Roman"/>
          <w:sz w:val="24"/>
          <w:szCs w:val="24"/>
        </w:rPr>
      </w:pPr>
      <w:r w:rsidRPr="00FE6043">
        <w:rPr>
          <w:rFonts w:ascii="Times New Roman" w:hAnsi="Times New Roman" w:cs="Times New Roman"/>
          <w:sz w:val="24"/>
          <w:szCs w:val="24"/>
        </w:rPr>
        <w:t xml:space="preserve">Les érythrocytes aviaires matures sont </w:t>
      </w:r>
      <w:r w:rsidRPr="00A60087">
        <w:rPr>
          <w:rFonts w:ascii="Times New Roman" w:hAnsi="Times New Roman" w:cs="Times New Roman"/>
          <w:b/>
          <w:bCs/>
          <w:sz w:val="24"/>
          <w:szCs w:val="24"/>
        </w:rPr>
        <w:t>elliptiques</w:t>
      </w:r>
      <w:r w:rsidRPr="00FE6043">
        <w:rPr>
          <w:rFonts w:ascii="Times New Roman" w:hAnsi="Times New Roman" w:cs="Times New Roman"/>
          <w:sz w:val="24"/>
          <w:szCs w:val="24"/>
        </w:rPr>
        <w:t xml:space="preserve"> et possèdent un </w:t>
      </w:r>
      <w:r w:rsidRPr="00A60087">
        <w:rPr>
          <w:rFonts w:ascii="Times New Roman" w:hAnsi="Times New Roman" w:cs="Times New Roman"/>
          <w:b/>
          <w:bCs/>
          <w:sz w:val="24"/>
          <w:szCs w:val="24"/>
        </w:rPr>
        <w:t>noyau elliptique positionné au centre</w:t>
      </w:r>
      <w:r w:rsidRPr="00FE6043">
        <w:rPr>
          <w:rFonts w:ascii="Times New Roman" w:hAnsi="Times New Roman" w:cs="Times New Roman"/>
          <w:sz w:val="24"/>
          <w:szCs w:val="24"/>
        </w:rPr>
        <w:t>. La chromatine nucléaire est uniformément agglomérée et devient de plus en plus condensée avec l’âge.</w:t>
      </w:r>
    </w:p>
    <w:p w:rsidR="00FE6043" w:rsidRPr="00FE6043" w:rsidRDefault="00FE6043" w:rsidP="00FE6043">
      <w:pPr>
        <w:pStyle w:val="PrformatHTML"/>
        <w:spacing w:line="360" w:lineRule="auto"/>
        <w:jc w:val="both"/>
        <w:rPr>
          <w:rFonts w:ascii="Times New Roman" w:hAnsi="Times New Roman" w:cs="Times New Roman"/>
          <w:sz w:val="24"/>
          <w:szCs w:val="24"/>
        </w:rPr>
      </w:pPr>
      <w:r w:rsidRPr="00FE6043">
        <w:rPr>
          <w:rFonts w:ascii="Times New Roman" w:hAnsi="Times New Roman" w:cs="Times New Roman"/>
          <w:sz w:val="24"/>
          <w:szCs w:val="24"/>
        </w:rPr>
        <w:t xml:space="preserve">Dans les frottis sanguins de Wright, le </w:t>
      </w:r>
      <w:r w:rsidRPr="00A60087">
        <w:rPr>
          <w:rFonts w:ascii="Times New Roman" w:hAnsi="Times New Roman" w:cs="Times New Roman"/>
          <w:b/>
          <w:bCs/>
          <w:sz w:val="24"/>
          <w:szCs w:val="24"/>
        </w:rPr>
        <w:t>noyau se colore en violet</w:t>
      </w:r>
      <w:r w:rsidRPr="00FE6043">
        <w:rPr>
          <w:rFonts w:ascii="Times New Roman" w:hAnsi="Times New Roman" w:cs="Times New Roman"/>
          <w:sz w:val="24"/>
          <w:szCs w:val="24"/>
        </w:rPr>
        <w:t xml:space="preserve">, tandis que le </w:t>
      </w:r>
      <w:r w:rsidRPr="00A60087">
        <w:rPr>
          <w:rFonts w:ascii="Times New Roman" w:hAnsi="Times New Roman" w:cs="Times New Roman"/>
          <w:b/>
          <w:bCs/>
          <w:sz w:val="24"/>
          <w:szCs w:val="24"/>
        </w:rPr>
        <w:t>cytoplasme se colore en rose orangé</w:t>
      </w:r>
      <w:r w:rsidRPr="00FE6043">
        <w:rPr>
          <w:rFonts w:ascii="Times New Roman" w:hAnsi="Times New Roman" w:cs="Times New Roman"/>
          <w:sz w:val="24"/>
          <w:szCs w:val="24"/>
        </w:rPr>
        <w:t xml:space="preserve"> avec </w:t>
      </w:r>
      <w:r w:rsidRPr="00A60087">
        <w:rPr>
          <w:rFonts w:ascii="Times New Roman" w:hAnsi="Times New Roman" w:cs="Times New Roman"/>
          <w:b/>
          <w:bCs/>
          <w:sz w:val="24"/>
          <w:szCs w:val="24"/>
        </w:rPr>
        <w:t>une texture uniforme</w:t>
      </w:r>
      <w:r w:rsidRPr="00FE6043">
        <w:rPr>
          <w:rFonts w:ascii="Times New Roman" w:hAnsi="Times New Roman" w:cs="Times New Roman"/>
          <w:sz w:val="24"/>
          <w:szCs w:val="24"/>
        </w:rPr>
        <w:t>.</w:t>
      </w:r>
    </w:p>
    <w:p w:rsidR="008A3FA3" w:rsidRPr="008A3FA3" w:rsidRDefault="008A3FA3" w:rsidP="008A3FA3">
      <w:pPr>
        <w:pStyle w:val="PrformatHTML"/>
        <w:spacing w:line="360" w:lineRule="auto"/>
        <w:jc w:val="both"/>
        <w:rPr>
          <w:rFonts w:ascii="Times New Roman" w:hAnsi="Times New Roman" w:cs="Times New Roman"/>
          <w:sz w:val="24"/>
          <w:szCs w:val="24"/>
        </w:rPr>
      </w:pPr>
      <w:r w:rsidRPr="008A3FA3">
        <w:rPr>
          <w:rFonts w:ascii="Times New Roman" w:hAnsi="Times New Roman" w:cs="Times New Roman"/>
          <w:sz w:val="24"/>
          <w:szCs w:val="24"/>
        </w:rPr>
        <w:t>Les changements dans la taille des érythrocytes aviaires comprennent la microcytose, la macrocytose et l'anisocytose.</w:t>
      </w:r>
    </w:p>
    <w:p w:rsidR="008A3FA3" w:rsidRPr="008A3FA3" w:rsidRDefault="008A3FA3" w:rsidP="008A3FA3">
      <w:pPr>
        <w:pStyle w:val="PrformatHTML"/>
        <w:spacing w:line="360" w:lineRule="auto"/>
        <w:jc w:val="both"/>
        <w:rPr>
          <w:rFonts w:ascii="Times New Roman" w:hAnsi="Times New Roman" w:cs="Times New Roman"/>
          <w:sz w:val="24"/>
          <w:szCs w:val="24"/>
        </w:rPr>
      </w:pPr>
      <w:r w:rsidRPr="008A3FA3">
        <w:rPr>
          <w:rFonts w:ascii="Times New Roman" w:hAnsi="Times New Roman" w:cs="Times New Roman"/>
          <w:sz w:val="24"/>
          <w:szCs w:val="24"/>
        </w:rPr>
        <w:t>Un changement significatif dans la taille moyenne des érythrocytes est reflété dans le volume corpusculaire moyen (</w:t>
      </w:r>
      <w:r w:rsidRPr="008A3FA3">
        <w:rPr>
          <w:rFonts w:ascii="Times New Roman" w:hAnsi="Times New Roman" w:cs="Times New Roman"/>
          <w:b/>
          <w:bCs/>
          <w:sz w:val="24"/>
          <w:szCs w:val="24"/>
        </w:rPr>
        <w:t>MCV</w:t>
      </w:r>
      <w:r w:rsidRPr="008A3FA3">
        <w:rPr>
          <w:rFonts w:ascii="Times New Roman" w:hAnsi="Times New Roman" w:cs="Times New Roman"/>
          <w:sz w:val="24"/>
          <w:szCs w:val="24"/>
        </w:rPr>
        <w:t>).</w:t>
      </w:r>
    </w:p>
    <w:p w:rsidR="008A3FA3" w:rsidRPr="008A3FA3" w:rsidRDefault="008A3FA3" w:rsidP="008A3FA3">
      <w:pPr>
        <w:pStyle w:val="PrformatHTML"/>
        <w:spacing w:line="360" w:lineRule="auto"/>
        <w:jc w:val="both"/>
        <w:rPr>
          <w:rFonts w:ascii="Times New Roman" w:hAnsi="Times New Roman" w:cs="Times New Roman"/>
          <w:sz w:val="24"/>
          <w:szCs w:val="24"/>
        </w:rPr>
      </w:pPr>
      <w:r w:rsidRPr="008A3FA3">
        <w:rPr>
          <w:rFonts w:ascii="Times New Roman" w:hAnsi="Times New Roman" w:cs="Times New Roman"/>
          <w:sz w:val="24"/>
          <w:szCs w:val="24"/>
        </w:rPr>
        <w:t xml:space="preserve">Les variations de la couleur des érythrocytes incluent la </w:t>
      </w:r>
      <w:r w:rsidRPr="009E5B9F">
        <w:rPr>
          <w:rFonts w:ascii="Times New Roman" w:hAnsi="Times New Roman" w:cs="Times New Roman"/>
          <w:b/>
          <w:bCs/>
          <w:sz w:val="24"/>
          <w:szCs w:val="24"/>
        </w:rPr>
        <w:t>polychromasie</w:t>
      </w:r>
      <w:r w:rsidRPr="008A3FA3">
        <w:rPr>
          <w:rFonts w:ascii="Times New Roman" w:hAnsi="Times New Roman" w:cs="Times New Roman"/>
          <w:sz w:val="24"/>
          <w:szCs w:val="24"/>
        </w:rPr>
        <w:t xml:space="preserve"> et l'</w:t>
      </w:r>
      <w:r w:rsidRPr="009E5B9F">
        <w:rPr>
          <w:rFonts w:ascii="Times New Roman" w:hAnsi="Times New Roman" w:cs="Times New Roman"/>
          <w:b/>
          <w:bCs/>
          <w:sz w:val="24"/>
          <w:szCs w:val="24"/>
        </w:rPr>
        <w:t>hypochromasie</w:t>
      </w:r>
      <w:r w:rsidRPr="008A3FA3">
        <w:rPr>
          <w:rFonts w:ascii="Times New Roman" w:hAnsi="Times New Roman" w:cs="Times New Roman"/>
          <w:sz w:val="24"/>
          <w:szCs w:val="24"/>
        </w:rPr>
        <w:t>. Les érythrocytes polychromatophiliques sont peu nombreux (généralement &lt;5% des érythrocytes) dans le sang périphérique de la plupart des oiseaux normaux.</w:t>
      </w:r>
    </w:p>
    <w:p w:rsidR="008A3FA3" w:rsidRPr="008A3FA3" w:rsidRDefault="008A3FA3" w:rsidP="008A3FA3">
      <w:pPr>
        <w:pStyle w:val="PrformatHTML"/>
        <w:spacing w:line="360" w:lineRule="auto"/>
        <w:jc w:val="both"/>
        <w:rPr>
          <w:rFonts w:ascii="Times New Roman" w:hAnsi="Times New Roman" w:cs="Times New Roman"/>
          <w:sz w:val="24"/>
          <w:szCs w:val="24"/>
        </w:rPr>
      </w:pPr>
      <w:r w:rsidRPr="008A3FA3">
        <w:rPr>
          <w:rFonts w:ascii="Times New Roman" w:hAnsi="Times New Roman" w:cs="Times New Roman"/>
          <w:sz w:val="24"/>
          <w:szCs w:val="24"/>
        </w:rPr>
        <w:t>Le cytoplasme des érythrocytes polychromatophiles est faiblement basophile et le noyau est moins condensé que dans les érythrocytes matures. Les érythrocytes polychromatophiliques ont une taille similaire à celle des érythrocytes matures et ils apparaissent sous forme de réticulocytes lorsqu'ils sont colorés avec des taches vitales telles que le nouveau bleu de méthylène.</w:t>
      </w:r>
    </w:p>
    <w:p w:rsidR="00AD0523" w:rsidRPr="00AD0523" w:rsidRDefault="00AD0523" w:rsidP="00AD0523">
      <w:pPr>
        <w:pStyle w:val="PrformatHTML"/>
        <w:spacing w:line="360" w:lineRule="auto"/>
        <w:jc w:val="both"/>
        <w:rPr>
          <w:rFonts w:ascii="Times New Roman" w:hAnsi="Times New Roman" w:cs="Times New Roman"/>
          <w:sz w:val="24"/>
          <w:szCs w:val="24"/>
        </w:rPr>
      </w:pPr>
      <w:r w:rsidRPr="00AD0523">
        <w:rPr>
          <w:rFonts w:ascii="Times New Roman" w:hAnsi="Times New Roman" w:cs="Times New Roman"/>
          <w:sz w:val="24"/>
          <w:szCs w:val="24"/>
        </w:rPr>
        <w:t>Les réticulocytes constituent l'avant-dernière cellule de la série de maturation des érythrocytes et leur présence dans le sang périphérique d'oiseaux normaux suggère que les dernières étapes de la maturation des globules rouges se produisent dans le sang en circulation. Les réticulocytes ont tendance à être de taille plus petite et moins allongée par rapport aux érythrocytes matures.</w:t>
      </w:r>
    </w:p>
    <w:p w:rsidR="00AD0523" w:rsidRDefault="00AD0523" w:rsidP="00AD0523">
      <w:pPr>
        <w:pStyle w:val="PrformatHTML"/>
        <w:spacing w:line="360" w:lineRule="auto"/>
        <w:jc w:val="both"/>
        <w:rPr>
          <w:rFonts w:ascii="Times New Roman" w:hAnsi="Times New Roman" w:cs="Times New Roman"/>
          <w:sz w:val="24"/>
          <w:szCs w:val="24"/>
        </w:rPr>
      </w:pPr>
      <w:r w:rsidRPr="00AD0523">
        <w:rPr>
          <w:rFonts w:ascii="Times New Roman" w:hAnsi="Times New Roman" w:cs="Times New Roman"/>
          <w:sz w:val="24"/>
          <w:szCs w:val="24"/>
        </w:rPr>
        <w:lastRenderedPageBreak/>
        <w:t>Par exemple, les réticulocytes de cailles adultes de Coturnix mesurent 9,80 ± 0,77 μm de long et 8,23 ± 0,72 μm de large chez les mâles et 9,80 ± 0,77 μm de long et 7,73 ± 0,70 μm de large chez les femelles.</w:t>
      </w:r>
    </w:p>
    <w:p w:rsidR="0036506E" w:rsidRPr="0036506E" w:rsidRDefault="0036506E" w:rsidP="0036506E">
      <w:pPr>
        <w:pStyle w:val="PrformatHTML"/>
        <w:spacing w:line="360" w:lineRule="auto"/>
        <w:jc w:val="both"/>
        <w:rPr>
          <w:rFonts w:ascii="Times New Roman" w:hAnsi="Times New Roman" w:cs="Times New Roman"/>
          <w:sz w:val="24"/>
          <w:szCs w:val="24"/>
        </w:rPr>
      </w:pPr>
      <w:r w:rsidRPr="0036506E">
        <w:rPr>
          <w:rFonts w:ascii="Times New Roman" w:hAnsi="Times New Roman" w:cs="Times New Roman"/>
          <w:sz w:val="24"/>
          <w:szCs w:val="24"/>
        </w:rPr>
        <w:t>La plupart des érythrocytes aviaires matures contiennent une quantité variable d'agrégat ou de réticulum ponctué.</w:t>
      </w:r>
    </w:p>
    <w:p w:rsidR="0036506E" w:rsidRPr="0036506E" w:rsidRDefault="0036506E" w:rsidP="0036506E">
      <w:pPr>
        <w:pStyle w:val="PrformatHTML"/>
        <w:spacing w:line="360" w:lineRule="auto"/>
        <w:jc w:val="both"/>
        <w:rPr>
          <w:rFonts w:ascii="Times New Roman" w:hAnsi="Times New Roman" w:cs="Times New Roman"/>
          <w:sz w:val="24"/>
          <w:szCs w:val="24"/>
        </w:rPr>
      </w:pPr>
      <w:r w:rsidRPr="0036506E">
        <w:rPr>
          <w:rFonts w:ascii="Times New Roman" w:hAnsi="Times New Roman" w:cs="Times New Roman"/>
          <w:sz w:val="24"/>
          <w:szCs w:val="24"/>
        </w:rPr>
        <w:t>Les réticulocytes reflétant la réponse régénératrice actuelle des érythrocytes sont toutefois ceux avec un anneau distinct de réticulum agrégé qui entoure le noyau des globules rouges.</w:t>
      </w:r>
    </w:p>
    <w:p w:rsidR="00E23A37" w:rsidRDefault="00E23A37" w:rsidP="00E23A37">
      <w:pPr>
        <w:pStyle w:val="PrformatHTML"/>
        <w:spacing w:line="360" w:lineRule="auto"/>
        <w:jc w:val="both"/>
        <w:rPr>
          <w:rFonts w:ascii="Times New Roman" w:hAnsi="Times New Roman" w:cs="Times New Roman"/>
          <w:sz w:val="24"/>
          <w:szCs w:val="24"/>
        </w:rPr>
      </w:pPr>
      <w:r w:rsidRPr="00E23A37">
        <w:rPr>
          <w:rFonts w:ascii="Times New Roman" w:hAnsi="Times New Roman" w:cs="Times New Roman"/>
          <w:sz w:val="24"/>
          <w:szCs w:val="24"/>
        </w:rPr>
        <w:t>Les érythrocytes hypochromatiques sont anormalement de couleur pâle comparés aux érythrocytes matures et leur surface de pâleur cytoplasmique est supérieure à la moitié du volume cytoplasmique.</w:t>
      </w:r>
    </w:p>
    <w:p w:rsidR="00044463" w:rsidRDefault="00044463" w:rsidP="00E23A37">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89340" cy="3371156"/>
            <wp:effectExtent l="19050" t="0" r="64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89709" cy="3371433"/>
                    </a:xfrm>
                    <a:prstGeom prst="rect">
                      <a:avLst/>
                    </a:prstGeom>
                    <a:noFill/>
                    <a:ln w="9525">
                      <a:noFill/>
                      <a:miter lim="800000"/>
                      <a:headEnd/>
                      <a:tailEnd/>
                    </a:ln>
                  </pic:spPr>
                </pic:pic>
              </a:graphicData>
            </a:graphic>
          </wp:inline>
        </w:drawing>
      </w:r>
    </w:p>
    <w:p w:rsidR="00044463" w:rsidRPr="00044463" w:rsidRDefault="00044463" w:rsidP="00044463">
      <w:pPr>
        <w:pStyle w:val="PrformatHTML"/>
        <w:rPr>
          <w:rFonts w:ascii="Times New Roman" w:hAnsi="Times New Roman" w:cs="Times New Roman"/>
          <w:sz w:val="24"/>
          <w:szCs w:val="24"/>
        </w:rPr>
      </w:pPr>
      <w:r w:rsidRPr="00044463">
        <w:rPr>
          <w:rFonts w:ascii="Times New Roman" w:hAnsi="Times New Roman" w:cs="Times New Roman"/>
          <w:b/>
          <w:bCs/>
          <w:sz w:val="24"/>
          <w:szCs w:val="24"/>
        </w:rPr>
        <w:t>Figure :</w:t>
      </w:r>
      <w:r>
        <w:rPr>
          <w:rFonts w:ascii="Times New Roman" w:hAnsi="Times New Roman" w:cs="Times New Roman"/>
          <w:sz w:val="24"/>
          <w:szCs w:val="24"/>
        </w:rPr>
        <w:t xml:space="preserve"> </w:t>
      </w:r>
      <w:r w:rsidRPr="00044463">
        <w:rPr>
          <w:rFonts w:ascii="Times New Roman" w:hAnsi="Times New Roman" w:cs="Times New Roman"/>
          <w:sz w:val="24"/>
          <w:szCs w:val="24"/>
        </w:rPr>
        <w:t>Érythrocytes hypochromatiques (flèches) dans le film sanguin d'un perroquet. Tache de Wright-Giemsa.</w:t>
      </w:r>
    </w:p>
    <w:p w:rsidR="00044463" w:rsidRDefault="00044463" w:rsidP="00E23A37">
      <w:pPr>
        <w:pStyle w:val="PrformatHTML"/>
        <w:spacing w:line="360" w:lineRule="auto"/>
        <w:jc w:val="both"/>
        <w:rPr>
          <w:rFonts w:ascii="Times New Roman" w:hAnsi="Times New Roman" w:cs="Times New Roman"/>
          <w:sz w:val="24"/>
          <w:szCs w:val="24"/>
        </w:rPr>
      </w:pPr>
    </w:p>
    <w:p w:rsidR="003D2355" w:rsidRPr="003D2355" w:rsidRDefault="003D2355" w:rsidP="003D2355">
      <w:pPr>
        <w:pStyle w:val="PrformatHTML"/>
        <w:spacing w:line="360" w:lineRule="auto"/>
        <w:jc w:val="both"/>
        <w:rPr>
          <w:rFonts w:ascii="Times New Roman" w:hAnsi="Times New Roman" w:cs="Times New Roman"/>
          <w:sz w:val="24"/>
          <w:szCs w:val="24"/>
        </w:rPr>
      </w:pPr>
      <w:r w:rsidRPr="003D2355">
        <w:rPr>
          <w:rFonts w:ascii="Times New Roman" w:hAnsi="Times New Roman" w:cs="Times New Roman"/>
          <w:sz w:val="24"/>
          <w:szCs w:val="24"/>
        </w:rPr>
        <w:t>Ils peuvent également avoir des vacuoles cytoplasmiques et des noyaux arrondis et pycnotiques.</w:t>
      </w:r>
    </w:p>
    <w:p w:rsidR="003D2355" w:rsidRPr="003D2355" w:rsidRDefault="003D2355" w:rsidP="003D2355">
      <w:pPr>
        <w:pStyle w:val="PrformatHTML"/>
        <w:spacing w:line="360" w:lineRule="auto"/>
        <w:jc w:val="both"/>
        <w:rPr>
          <w:rFonts w:ascii="Times New Roman" w:hAnsi="Times New Roman" w:cs="Times New Roman"/>
          <w:sz w:val="24"/>
          <w:szCs w:val="24"/>
        </w:rPr>
      </w:pPr>
      <w:r w:rsidRPr="003D2355">
        <w:rPr>
          <w:rFonts w:ascii="Times New Roman" w:hAnsi="Times New Roman" w:cs="Times New Roman"/>
          <w:sz w:val="24"/>
          <w:szCs w:val="24"/>
        </w:rPr>
        <w:t xml:space="preserve"> Une </w:t>
      </w:r>
      <w:r w:rsidRPr="00440E77">
        <w:rPr>
          <w:rFonts w:ascii="Times New Roman" w:hAnsi="Times New Roman" w:cs="Times New Roman"/>
          <w:b/>
          <w:bCs/>
          <w:sz w:val="24"/>
          <w:szCs w:val="24"/>
        </w:rPr>
        <w:t>hypochromasie</w:t>
      </w:r>
      <w:r w:rsidRPr="003D2355">
        <w:rPr>
          <w:rFonts w:ascii="Times New Roman" w:hAnsi="Times New Roman" w:cs="Times New Roman"/>
          <w:sz w:val="24"/>
          <w:szCs w:val="24"/>
        </w:rPr>
        <w:t xml:space="preserve"> significative se traduit par une diminution de la concentration moyenne en hémoglobine corpusculaire (MCHC) et des valeurs moyennes en hémoglobine corpusculaire (MCH).</w:t>
      </w:r>
    </w:p>
    <w:p w:rsidR="009E5021" w:rsidRDefault="009E5021" w:rsidP="009E5021">
      <w:pPr>
        <w:pStyle w:val="PrformatHTML"/>
        <w:spacing w:line="360" w:lineRule="auto"/>
        <w:jc w:val="both"/>
        <w:rPr>
          <w:rFonts w:ascii="Times New Roman" w:hAnsi="Times New Roman" w:cs="Times New Roman"/>
          <w:sz w:val="24"/>
          <w:szCs w:val="24"/>
        </w:rPr>
      </w:pPr>
    </w:p>
    <w:p w:rsidR="009E5021" w:rsidRDefault="009E5021" w:rsidP="009E5021">
      <w:pPr>
        <w:pStyle w:val="PrformatHTML"/>
        <w:spacing w:line="360" w:lineRule="auto"/>
        <w:jc w:val="both"/>
        <w:rPr>
          <w:rFonts w:ascii="Times New Roman" w:hAnsi="Times New Roman" w:cs="Times New Roman"/>
          <w:sz w:val="24"/>
          <w:szCs w:val="24"/>
        </w:rPr>
      </w:pPr>
    </w:p>
    <w:p w:rsidR="009E5021" w:rsidRDefault="009E5021" w:rsidP="009E5021">
      <w:pPr>
        <w:pStyle w:val="PrformatHTML"/>
        <w:spacing w:line="360" w:lineRule="auto"/>
        <w:jc w:val="both"/>
        <w:rPr>
          <w:rFonts w:ascii="Times New Roman" w:hAnsi="Times New Roman" w:cs="Times New Roman"/>
          <w:sz w:val="24"/>
          <w:szCs w:val="24"/>
        </w:rPr>
      </w:pPr>
    </w:p>
    <w:p w:rsidR="009E5021" w:rsidRPr="009E5021" w:rsidRDefault="009E5021" w:rsidP="009E5021">
      <w:pPr>
        <w:pStyle w:val="PrformatHTML"/>
        <w:spacing w:line="360" w:lineRule="auto"/>
        <w:jc w:val="both"/>
        <w:rPr>
          <w:rFonts w:ascii="Times New Roman" w:hAnsi="Times New Roman" w:cs="Times New Roman"/>
          <w:b/>
          <w:bCs/>
          <w:sz w:val="24"/>
          <w:szCs w:val="24"/>
          <w:u w:val="single"/>
        </w:rPr>
      </w:pPr>
      <w:r w:rsidRPr="009E5021">
        <w:rPr>
          <w:rFonts w:ascii="Times New Roman" w:hAnsi="Times New Roman" w:cs="Times New Roman"/>
          <w:b/>
          <w:bCs/>
          <w:sz w:val="24"/>
          <w:szCs w:val="24"/>
          <w:u w:val="single"/>
        </w:rPr>
        <w:t>Physiologie érythrocytaire normale</w:t>
      </w:r>
    </w:p>
    <w:p w:rsidR="009E5021" w:rsidRPr="009E5021" w:rsidRDefault="009E5021" w:rsidP="009E5021">
      <w:pPr>
        <w:pStyle w:val="PrformatHTML"/>
        <w:spacing w:line="360" w:lineRule="auto"/>
        <w:jc w:val="both"/>
        <w:rPr>
          <w:rFonts w:ascii="Times New Roman" w:hAnsi="Times New Roman" w:cs="Times New Roman"/>
          <w:sz w:val="24"/>
          <w:szCs w:val="24"/>
        </w:rPr>
      </w:pPr>
      <w:r w:rsidRPr="009E5021">
        <w:rPr>
          <w:rFonts w:ascii="Times New Roman" w:hAnsi="Times New Roman" w:cs="Times New Roman"/>
          <w:sz w:val="24"/>
          <w:szCs w:val="24"/>
        </w:rPr>
        <w:t>Les valeurs de référence normales varient selon les espèces d'oiseaux; cependant, à quelques exceptions près</w:t>
      </w:r>
      <w:r>
        <w:rPr>
          <w:rFonts w:ascii="Times New Roman" w:hAnsi="Times New Roman" w:cs="Times New Roman"/>
          <w:sz w:val="24"/>
          <w:szCs w:val="24"/>
        </w:rPr>
        <w:t> ;</w:t>
      </w:r>
    </w:p>
    <w:p w:rsidR="009E5021" w:rsidRDefault="009E5021" w:rsidP="009E5021">
      <w:pPr>
        <w:pStyle w:val="PrformatHTML"/>
        <w:spacing w:line="360" w:lineRule="auto"/>
        <w:jc w:val="both"/>
        <w:rPr>
          <w:rFonts w:ascii="Times New Roman" w:hAnsi="Times New Roman" w:cs="Times New Roman"/>
          <w:sz w:val="24"/>
          <w:szCs w:val="24"/>
        </w:rPr>
      </w:pPr>
      <w:r w:rsidRPr="009E5021">
        <w:rPr>
          <w:rFonts w:ascii="Times New Roman" w:hAnsi="Times New Roman" w:cs="Times New Roman"/>
          <w:sz w:val="24"/>
          <w:szCs w:val="24"/>
        </w:rPr>
        <w:t xml:space="preserve">Les </w:t>
      </w:r>
      <w:r w:rsidRPr="009E5021">
        <w:rPr>
          <w:rFonts w:ascii="Times New Roman" w:hAnsi="Times New Roman" w:cs="Times New Roman"/>
          <w:b/>
          <w:bCs/>
          <w:sz w:val="24"/>
          <w:szCs w:val="24"/>
        </w:rPr>
        <w:t>psittacidés en captivité</w:t>
      </w:r>
      <w:r w:rsidRPr="009E5021">
        <w:rPr>
          <w:rFonts w:ascii="Times New Roman" w:hAnsi="Times New Roman" w:cs="Times New Roman"/>
          <w:sz w:val="24"/>
          <w:szCs w:val="24"/>
        </w:rPr>
        <w:t xml:space="preserve"> ont des paramètres érythrocytaires similaires: </w:t>
      </w:r>
    </w:p>
    <w:p w:rsidR="009E5021" w:rsidRDefault="009E5021" w:rsidP="009E5021">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5021">
        <w:rPr>
          <w:rFonts w:ascii="Times New Roman" w:hAnsi="Times New Roman" w:cs="Times New Roman"/>
          <w:sz w:val="24"/>
          <w:szCs w:val="24"/>
        </w:rPr>
        <w:t xml:space="preserve">PCV de 35 à 55%; </w:t>
      </w:r>
    </w:p>
    <w:p w:rsidR="009E5021" w:rsidRDefault="009E5021" w:rsidP="009E5021">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5021">
        <w:rPr>
          <w:rFonts w:ascii="Times New Roman" w:hAnsi="Times New Roman" w:cs="Times New Roman"/>
          <w:sz w:val="24"/>
          <w:szCs w:val="24"/>
        </w:rPr>
        <w:t>Nombre de globules rouges de 2,4 à 5,0 × 10</w:t>
      </w:r>
      <w:r w:rsidRPr="009E5021">
        <w:rPr>
          <w:rFonts w:ascii="Times New Roman" w:hAnsi="Times New Roman" w:cs="Times New Roman"/>
          <w:sz w:val="24"/>
          <w:szCs w:val="24"/>
          <w:vertAlign w:val="superscript"/>
        </w:rPr>
        <w:t>6</w:t>
      </w:r>
      <w:r w:rsidRPr="009E5021">
        <w:rPr>
          <w:rFonts w:ascii="Times New Roman" w:hAnsi="Times New Roman" w:cs="Times New Roman"/>
          <w:sz w:val="24"/>
          <w:szCs w:val="24"/>
        </w:rPr>
        <w:t xml:space="preserve"> / μL; </w:t>
      </w:r>
    </w:p>
    <w:p w:rsidR="009E5021" w:rsidRDefault="009E5021" w:rsidP="009E5021">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5021">
        <w:rPr>
          <w:rFonts w:ascii="Times New Roman" w:hAnsi="Times New Roman" w:cs="Times New Roman"/>
          <w:sz w:val="24"/>
          <w:szCs w:val="24"/>
        </w:rPr>
        <w:t>Concentration en hémoglobine de 11 à 16 mg / dL;</w:t>
      </w:r>
    </w:p>
    <w:p w:rsidR="009E5021" w:rsidRDefault="009E5021" w:rsidP="009E5021">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5021">
        <w:rPr>
          <w:rFonts w:ascii="Times New Roman" w:hAnsi="Times New Roman" w:cs="Times New Roman"/>
          <w:sz w:val="24"/>
          <w:szCs w:val="24"/>
        </w:rPr>
        <w:t xml:space="preserve">VCM de 90-200 fl; </w:t>
      </w:r>
    </w:p>
    <w:p w:rsidR="009E5021" w:rsidRDefault="009E5021" w:rsidP="009E5021">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E</w:t>
      </w:r>
      <w:r w:rsidRPr="009E5021">
        <w:rPr>
          <w:rFonts w:ascii="Times New Roman" w:hAnsi="Times New Roman" w:cs="Times New Roman"/>
          <w:sz w:val="24"/>
          <w:szCs w:val="24"/>
        </w:rPr>
        <w:t>t MCHC de 22–33%</w:t>
      </w:r>
      <w:r>
        <w:rPr>
          <w:rFonts w:ascii="Times New Roman" w:hAnsi="Times New Roman" w:cs="Times New Roman"/>
          <w:sz w:val="24"/>
          <w:szCs w:val="24"/>
        </w:rPr>
        <w:t>.</w:t>
      </w:r>
    </w:p>
    <w:p w:rsidR="004005D5" w:rsidRPr="004005D5" w:rsidRDefault="004005D5" w:rsidP="004005D5">
      <w:pPr>
        <w:pStyle w:val="PrformatHTML"/>
        <w:spacing w:line="360" w:lineRule="auto"/>
        <w:jc w:val="both"/>
        <w:rPr>
          <w:rFonts w:ascii="Times New Roman" w:hAnsi="Times New Roman" w:cs="Times New Roman"/>
          <w:sz w:val="24"/>
          <w:szCs w:val="24"/>
        </w:rPr>
      </w:pPr>
      <w:r w:rsidRPr="004005D5">
        <w:rPr>
          <w:rFonts w:ascii="Times New Roman" w:hAnsi="Times New Roman" w:cs="Times New Roman"/>
          <w:sz w:val="24"/>
          <w:szCs w:val="24"/>
        </w:rPr>
        <w:t>La concentration totale en érythrocytes et le PCV des oiseaux sont influencés par les espèces, l'âge, le sexe, les influences hormonales, l'hypoxie, les facteurs environnementaux et les maladies.</w:t>
      </w:r>
    </w:p>
    <w:p w:rsidR="002A2C08" w:rsidRPr="002A2C08" w:rsidRDefault="002A2C08" w:rsidP="002A2C08">
      <w:pPr>
        <w:pStyle w:val="PrformatHTML"/>
        <w:spacing w:line="360" w:lineRule="auto"/>
        <w:jc w:val="both"/>
        <w:rPr>
          <w:rFonts w:ascii="Times New Roman" w:hAnsi="Times New Roman" w:cs="Times New Roman"/>
          <w:sz w:val="24"/>
          <w:szCs w:val="24"/>
        </w:rPr>
      </w:pPr>
      <w:r w:rsidRPr="002A2C08">
        <w:rPr>
          <w:rFonts w:ascii="Times New Roman" w:hAnsi="Times New Roman" w:cs="Times New Roman"/>
          <w:sz w:val="24"/>
          <w:szCs w:val="24"/>
        </w:rPr>
        <w:t>En général, le nombre total d'érythrocytes, de PCV et de MCV augmente avec l'âge.</w:t>
      </w:r>
    </w:p>
    <w:p w:rsidR="002A2C08" w:rsidRPr="002A2C08" w:rsidRDefault="002A2C08" w:rsidP="002A2C08">
      <w:pPr>
        <w:pStyle w:val="PrformatHTML"/>
        <w:spacing w:line="360" w:lineRule="auto"/>
        <w:jc w:val="both"/>
        <w:rPr>
          <w:rFonts w:ascii="Times New Roman" w:hAnsi="Times New Roman" w:cs="Times New Roman"/>
          <w:sz w:val="24"/>
          <w:szCs w:val="24"/>
        </w:rPr>
      </w:pPr>
      <w:r w:rsidRPr="002A2C08">
        <w:rPr>
          <w:rFonts w:ascii="Times New Roman" w:hAnsi="Times New Roman" w:cs="Times New Roman"/>
          <w:sz w:val="24"/>
          <w:szCs w:val="24"/>
        </w:rPr>
        <w:t>L'Hb ne semble pas être affecté par l'âge; par conséquent, une baisse de la CCMH est fonction de l’augmentation du volume massique maximal.</w:t>
      </w:r>
    </w:p>
    <w:p w:rsidR="002A2C08" w:rsidRPr="002A2C08" w:rsidRDefault="002A2C08" w:rsidP="002A2C08">
      <w:pPr>
        <w:pStyle w:val="PrformatHTML"/>
        <w:spacing w:line="360" w:lineRule="auto"/>
        <w:jc w:val="both"/>
        <w:rPr>
          <w:rFonts w:ascii="Times New Roman" w:hAnsi="Times New Roman" w:cs="Times New Roman"/>
          <w:sz w:val="24"/>
          <w:szCs w:val="24"/>
        </w:rPr>
      </w:pPr>
      <w:r w:rsidRPr="002A2C08">
        <w:rPr>
          <w:rFonts w:ascii="Times New Roman" w:hAnsi="Times New Roman" w:cs="Times New Roman"/>
          <w:sz w:val="24"/>
          <w:szCs w:val="24"/>
        </w:rPr>
        <w:t>La numération érythrocytaire totale et le PCV ont tendance à être plus élevés chez les mâles que chez les femelles. La raison en est peut-être un effet hormonal où les œstrogènes réduisent l’érythropoïèse, alors que les androgènes et la thyroxine stimulent l’érythropoïèse.</w:t>
      </w:r>
    </w:p>
    <w:p w:rsidR="002A2C08" w:rsidRPr="002A2C08" w:rsidRDefault="002A2C08" w:rsidP="002A2C08">
      <w:pPr>
        <w:pStyle w:val="PrformatHTML"/>
        <w:spacing w:line="360" w:lineRule="auto"/>
        <w:jc w:val="both"/>
        <w:rPr>
          <w:rFonts w:ascii="Times New Roman" w:hAnsi="Times New Roman" w:cs="Times New Roman"/>
          <w:sz w:val="24"/>
          <w:szCs w:val="24"/>
        </w:rPr>
      </w:pPr>
      <w:r w:rsidRPr="002A2C08">
        <w:rPr>
          <w:rFonts w:ascii="Times New Roman" w:hAnsi="Times New Roman" w:cs="Times New Roman"/>
          <w:sz w:val="24"/>
          <w:szCs w:val="24"/>
        </w:rPr>
        <w:t>Les variations des paramètres érythrocytaires associés au sexe chez les oiseaux ne sont généralement pas statistiquement significatives; Cependant, les différences signalées entre les mâles et les femelles ont été rapportées et reflètent une variation saisonnière, les femelles ayant tendance à avoir des valeurs de PCV, d'Hb, de TRBC et de MCHC plus élevées que les mâles dans la période précédant la nidification.</w:t>
      </w:r>
    </w:p>
    <w:p w:rsidR="001C6528" w:rsidRPr="001C6528" w:rsidRDefault="001C6528" w:rsidP="001C6528">
      <w:pPr>
        <w:pStyle w:val="PrformatHTML"/>
        <w:spacing w:line="360" w:lineRule="auto"/>
        <w:jc w:val="both"/>
        <w:rPr>
          <w:rFonts w:ascii="Times New Roman" w:hAnsi="Times New Roman" w:cs="Times New Roman"/>
          <w:sz w:val="24"/>
          <w:szCs w:val="24"/>
        </w:rPr>
      </w:pPr>
      <w:r w:rsidRPr="001C6528">
        <w:rPr>
          <w:rFonts w:ascii="Times New Roman" w:hAnsi="Times New Roman" w:cs="Times New Roman"/>
          <w:sz w:val="24"/>
          <w:szCs w:val="24"/>
        </w:rPr>
        <w:t>Les oiseaux, comme les mammifères, réagissent à la perte et à la perte de sang en augmentant la production d'érythropoïétine, qui stimule l'érythropoïèse.</w:t>
      </w:r>
    </w:p>
    <w:p w:rsidR="001C6528" w:rsidRPr="001C6528" w:rsidRDefault="001C6528" w:rsidP="001C6528">
      <w:pPr>
        <w:pStyle w:val="PrformatHTML"/>
        <w:spacing w:line="360" w:lineRule="auto"/>
        <w:jc w:val="both"/>
        <w:rPr>
          <w:rFonts w:ascii="Times New Roman" w:hAnsi="Times New Roman" w:cs="Times New Roman"/>
          <w:sz w:val="24"/>
          <w:szCs w:val="24"/>
        </w:rPr>
      </w:pPr>
      <w:r w:rsidRPr="001C6528">
        <w:rPr>
          <w:rFonts w:ascii="Times New Roman" w:hAnsi="Times New Roman" w:cs="Times New Roman"/>
          <w:sz w:val="24"/>
          <w:szCs w:val="24"/>
        </w:rPr>
        <w:t>L'érythropoïétine aviaire (une glycoprotéine produite par le rein) agit directement sur la moelle osseuse pour augmenter la production d'érythrocytes.</w:t>
      </w:r>
    </w:p>
    <w:p w:rsidR="001C6528" w:rsidRDefault="001C6528" w:rsidP="001C6528">
      <w:pPr>
        <w:pStyle w:val="PrformatHTML"/>
        <w:spacing w:line="360" w:lineRule="auto"/>
        <w:jc w:val="both"/>
      </w:pPr>
      <w:r w:rsidRPr="001C6528">
        <w:rPr>
          <w:rFonts w:ascii="Times New Roman" w:hAnsi="Times New Roman" w:cs="Times New Roman"/>
          <w:sz w:val="24"/>
          <w:szCs w:val="24"/>
        </w:rPr>
        <w:t>L'érythropoïétine aviaire ne stimule cependant pas l'érythropoïèse chez les mammifères, et l'érythropoïétine chez les mammifères n'a aucun effet sur l'hématopoïèse aviaire.</w:t>
      </w:r>
    </w:p>
    <w:p w:rsidR="0036661F" w:rsidRPr="0036661F" w:rsidRDefault="0036661F" w:rsidP="0036661F">
      <w:pPr>
        <w:pStyle w:val="PrformatHTML"/>
        <w:spacing w:line="360" w:lineRule="auto"/>
        <w:jc w:val="both"/>
        <w:rPr>
          <w:rFonts w:ascii="Times New Roman" w:hAnsi="Times New Roman" w:cs="Times New Roman"/>
          <w:sz w:val="24"/>
          <w:szCs w:val="24"/>
        </w:rPr>
      </w:pPr>
      <w:r w:rsidRPr="0036661F">
        <w:rPr>
          <w:rFonts w:ascii="Times New Roman" w:hAnsi="Times New Roman" w:cs="Times New Roman"/>
          <w:sz w:val="24"/>
          <w:szCs w:val="24"/>
        </w:rPr>
        <w:t>L’hémoglobine aviaire a quatre sous-unités hémiques contenant du fer, comme pour l’hémoglobine de mammifère, mais les fragments protéiques (c’est-à-dire les globulines) sont différents. Dans les érythrocytes aviaires, les composés de phosphate qui influencent l'affinité de l'hémoglobine pour l'oxygène diffèrent également de ceux des mammifères.</w:t>
      </w:r>
    </w:p>
    <w:p w:rsidR="0036661F" w:rsidRPr="0036661F" w:rsidRDefault="0036661F" w:rsidP="0036661F">
      <w:pPr>
        <w:pStyle w:val="PrformatHTML"/>
        <w:spacing w:line="360" w:lineRule="auto"/>
        <w:jc w:val="both"/>
        <w:rPr>
          <w:rFonts w:ascii="Times New Roman" w:hAnsi="Times New Roman" w:cs="Times New Roman"/>
          <w:sz w:val="24"/>
          <w:szCs w:val="24"/>
        </w:rPr>
      </w:pPr>
      <w:r w:rsidRPr="0036661F">
        <w:rPr>
          <w:rFonts w:ascii="Times New Roman" w:hAnsi="Times New Roman" w:cs="Times New Roman"/>
          <w:sz w:val="24"/>
          <w:szCs w:val="24"/>
        </w:rPr>
        <w:t>L'hémoglobine des oiseaux matures contient du myoinositol pentophosphate, et non du 2,3-diphosglycerate comme chez les mammifères. L’inositol pentophosphate a pour effet que l’hémoglobine a une plus faible affinité pour l’oxygène et décale la courbe de dissociation de l’oxygène vers la droite de la courbe de mammifère. Par conséquent, les tissus aviaires peuvent extraire l'oxygène de l'hémoglobine plus facilement que les tissus de mammifères.</w:t>
      </w:r>
    </w:p>
    <w:p w:rsidR="00D07341" w:rsidRPr="00D07341" w:rsidRDefault="00D07341" w:rsidP="00D07341">
      <w:pPr>
        <w:pStyle w:val="PrformatHTML"/>
        <w:spacing w:line="360" w:lineRule="auto"/>
        <w:jc w:val="both"/>
        <w:rPr>
          <w:rFonts w:ascii="Times New Roman" w:hAnsi="Times New Roman" w:cs="Times New Roman"/>
          <w:sz w:val="24"/>
          <w:szCs w:val="24"/>
        </w:rPr>
      </w:pPr>
      <w:r w:rsidRPr="00D07341">
        <w:rPr>
          <w:rFonts w:ascii="Times New Roman" w:hAnsi="Times New Roman" w:cs="Times New Roman"/>
          <w:sz w:val="24"/>
          <w:szCs w:val="24"/>
        </w:rPr>
        <w:t>Les oiseaux semblent développer plus rapidement des anémies dues à un manque d'érythropoïèse que les mammifères, peut-être à cause de la demi-vie érythrocytaire relativement courte chez les oiseaux par rapport à celle chez les mammifères.</w:t>
      </w:r>
    </w:p>
    <w:p w:rsidR="00D07341" w:rsidRPr="00D07341" w:rsidRDefault="00D07341" w:rsidP="00D07341">
      <w:pPr>
        <w:pStyle w:val="PrformatHTML"/>
        <w:spacing w:line="360" w:lineRule="auto"/>
        <w:jc w:val="both"/>
        <w:rPr>
          <w:rFonts w:ascii="Times New Roman" w:hAnsi="Times New Roman" w:cs="Times New Roman"/>
          <w:sz w:val="24"/>
          <w:szCs w:val="24"/>
        </w:rPr>
      </w:pPr>
      <w:r w:rsidRPr="00D07341">
        <w:rPr>
          <w:rFonts w:ascii="Times New Roman" w:hAnsi="Times New Roman" w:cs="Times New Roman"/>
          <w:sz w:val="24"/>
          <w:szCs w:val="24"/>
        </w:rPr>
        <w:t>Bien que la durée de vie des érythrocytes aviaires varie selon les espèces, elle est généralement plus courte que celle des mammifères.</w:t>
      </w:r>
    </w:p>
    <w:p w:rsidR="00D07341" w:rsidRDefault="00D07341" w:rsidP="00D07341">
      <w:pPr>
        <w:pStyle w:val="PrformatHTML"/>
        <w:spacing w:line="360" w:lineRule="auto"/>
        <w:jc w:val="both"/>
        <w:rPr>
          <w:rFonts w:ascii="Times New Roman" w:hAnsi="Times New Roman" w:cs="Times New Roman"/>
          <w:sz w:val="24"/>
          <w:szCs w:val="24"/>
        </w:rPr>
      </w:pPr>
      <w:r w:rsidRPr="00D07341">
        <w:rPr>
          <w:rFonts w:ascii="Times New Roman" w:hAnsi="Times New Roman" w:cs="Times New Roman"/>
          <w:sz w:val="24"/>
          <w:szCs w:val="24"/>
        </w:rPr>
        <w:t>Par exemple, la durée de vie des érythrocytes est de</w:t>
      </w:r>
      <w:r>
        <w:rPr>
          <w:rFonts w:ascii="Times New Roman" w:hAnsi="Times New Roman" w:cs="Times New Roman"/>
          <w:sz w:val="24"/>
          <w:szCs w:val="24"/>
        </w:rPr>
        <w:t> :</w:t>
      </w:r>
    </w:p>
    <w:p w:rsidR="00D07341" w:rsidRDefault="00D07341" w:rsidP="00D07341">
      <w:pPr>
        <w:pStyle w:val="PrformatHTML"/>
        <w:numPr>
          <w:ilvl w:val="0"/>
          <w:numId w:val="1"/>
        </w:numPr>
        <w:spacing w:line="360" w:lineRule="auto"/>
        <w:jc w:val="both"/>
        <w:rPr>
          <w:rFonts w:ascii="Times New Roman" w:hAnsi="Times New Roman" w:cs="Times New Roman"/>
          <w:sz w:val="24"/>
          <w:szCs w:val="24"/>
        </w:rPr>
      </w:pPr>
      <w:r w:rsidRPr="00D07341">
        <w:rPr>
          <w:rFonts w:ascii="Times New Roman" w:hAnsi="Times New Roman" w:cs="Times New Roman"/>
          <w:sz w:val="24"/>
          <w:szCs w:val="24"/>
        </w:rPr>
        <w:t xml:space="preserve"> </w:t>
      </w:r>
      <w:r w:rsidRPr="00D07341">
        <w:rPr>
          <w:rFonts w:ascii="Times New Roman" w:hAnsi="Times New Roman" w:cs="Times New Roman"/>
          <w:b/>
          <w:bCs/>
          <w:sz w:val="24"/>
          <w:szCs w:val="24"/>
        </w:rPr>
        <w:t>28 à 35 jours chez les poulets</w:t>
      </w:r>
      <w:r>
        <w:rPr>
          <w:rFonts w:ascii="Times New Roman" w:hAnsi="Times New Roman" w:cs="Times New Roman"/>
          <w:b/>
          <w:bCs/>
          <w:sz w:val="24"/>
          <w:szCs w:val="24"/>
        </w:rPr>
        <w:t> </w:t>
      </w:r>
      <w:r>
        <w:rPr>
          <w:rFonts w:ascii="Times New Roman" w:hAnsi="Times New Roman" w:cs="Times New Roman"/>
          <w:sz w:val="24"/>
          <w:szCs w:val="24"/>
        </w:rPr>
        <w:t>;</w:t>
      </w:r>
      <w:r w:rsidRPr="00D07341">
        <w:rPr>
          <w:rFonts w:ascii="Times New Roman" w:hAnsi="Times New Roman" w:cs="Times New Roman"/>
          <w:sz w:val="24"/>
          <w:szCs w:val="24"/>
        </w:rPr>
        <w:t xml:space="preserve"> </w:t>
      </w:r>
    </w:p>
    <w:p w:rsidR="00D07341" w:rsidRDefault="00D07341" w:rsidP="00D07341">
      <w:pPr>
        <w:pStyle w:val="PrformatHTML"/>
        <w:numPr>
          <w:ilvl w:val="0"/>
          <w:numId w:val="1"/>
        </w:numPr>
        <w:spacing w:line="360" w:lineRule="auto"/>
        <w:jc w:val="both"/>
        <w:rPr>
          <w:rFonts w:ascii="Times New Roman" w:hAnsi="Times New Roman" w:cs="Times New Roman"/>
          <w:sz w:val="24"/>
          <w:szCs w:val="24"/>
        </w:rPr>
      </w:pPr>
      <w:r w:rsidRPr="00D07341">
        <w:rPr>
          <w:rFonts w:ascii="Times New Roman" w:hAnsi="Times New Roman" w:cs="Times New Roman"/>
          <w:sz w:val="24"/>
          <w:szCs w:val="24"/>
        </w:rPr>
        <w:t xml:space="preserve"> </w:t>
      </w:r>
      <w:r w:rsidRPr="00D07341">
        <w:rPr>
          <w:rFonts w:ascii="Times New Roman" w:hAnsi="Times New Roman" w:cs="Times New Roman"/>
          <w:b/>
          <w:bCs/>
          <w:sz w:val="24"/>
          <w:szCs w:val="24"/>
        </w:rPr>
        <w:t>35 à 45 jours chez les pigeons</w:t>
      </w:r>
      <w:r>
        <w:rPr>
          <w:rFonts w:ascii="Times New Roman" w:hAnsi="Times New Roman" w:cs="Times New Roman"/>
          <w:sz w:val="24"/>
          <w:szCs w:val="24"/>
        </w:rPr>
        <w:t> ;</w:t>
      </w:r>
      <w:r w:rsidRPr="00D07341">
        <w:rPr>
          <w:rFonts w:ascii="Times New Roman" w:hAnsi="Times New Roman" w:cs="Times New Roman"/>
          <w:sz w:val="24"/>
          <w:szCs w:val="24"/>
        </w:rPr>
        <w:t xml:space="preserve"> </w:t>
      </w:r>
    </w:p>
    <w:p w:rsidR="00D07341" w:rsidRPr="00D07341" w:rsidRDefault="00D07341" w:rsidP="00D07341">
      <w:pPr>
        <w:pStyle w:val="PrformatHTML"/>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D07341">
        <w:rPr>
          <w:rFonts w:ascii="Times New Roman" w:hAnsi="Times New Roman" w:cs="Times New Roman"/>
          <w:sz w:val="24"/>
          <w:szCs w:val="24"/>
        </w:rPr>
        <w:t>t de</w:t>
      </w:r>
      <w:r w:rsidRPr="00D07341">
        <w:rPr>
          <w:rFonts w:ascii="Times New Roman" w:hAnsi="Times New Roman" w:cs="Times New Roman"/>
          <w:b/>
          <w:bCs/>
          <w:sz w:val="24"/>
          <w:szCs w:val="24"/>
        </w:rPr>
        <w:t xml:space="preserve"> 33 à 35 jours chez les cailles</w:t>
      </w:r>
      <w:r w:rsidRPr="00D07341">
        <w:rPr>
          <w:rFonts w:ascii="Times New Roman" w:hAnsi="Times New Roman" w:cs="Times New Roman"/>
          <w:sz w:val="24"/>
          <w:szCs w:val="24"/>
        </w:rPr>
        <w:t>.</w:t>
      </w:r>
    </w:p>
    <w:p w:rsidR="004005D5" w:rsidRDefault="004005D5"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Default="00AF7F8F" w:rsidP="002A2C08">
      <w:pPr>
        <w:pStyle w:val="PrformatHTML"/>
        <w:spacing w:line="360" w:lineRule="auto"/>
        <w:jc w:val="both"/>
        <w:rPr>
          <w:rFonts w:ascii="Times New Roman" w:hAnsi="Times New Roman" w:cs="Times New Roman"/>
          <w:sz w:val="24"/>
          <w:szCs w:val="24"/>
        </w:rPr>
      </w:pPr>
    </w:p>
    <w:p w:rsidR="00AF7F8F" w:rsidRPr="00D07341" w:rsidRDefault="00AF7F8F" w:rsidP="002A2C08">
      <w:pPr>
        <w:pStyle w:val="PrformatHTML"/>
        <w:spacing w:line="360" w:lineRule="auto"/>
        <w:jc w:val="both"/>
        <w:rPr>
          <w:rFonts w:ascii="Times New Roman" w:hAnsi="Times New Roman" w:cs="Times New Roman"/>
          <w:sz w:val="24"/>
          <w:szCs w:val="24"/>
        </w:rPr>
      </w:pPr>
    </w:p>
    <w:p w:rsidR="003D2355" w:rsidRPr="00E23A37" w:rsidRDefault="003D2355" w:rsidP="00E23A37">
      <w:pPr>
        <w:pStyle w:val="PrformatHTML"/>
        <w:spacing w:line="360" w:lineRule="auto"/>
        <w:jc w:val="both"/>
        <w:rPr>
          <w:rFonts w:ascii="Times New Roman" w:hAnsi="Times New Roman" w:cs="Times New Roman"/>
          <w:sz w:val="24"/>
          <w:szCs w:val="24"/>
        </w:rPr>
      </w:pPr>
    </w:p>
    <w:p w:rsidR="00024D3A" w:rsidRPr="00024D3A" w:rsidRDefault="00024D3A" w:rsidP="00024D3A">
      <w:pPr>
        <w:pStyle w:val="PrformatHTML"/>
        <w:jc w:val="center"/>
        <w:rPr>
          <w:rFonts w:ascii="Times New Roman" w:hAnsi="Times New Roman" w:cs="Times New Roman"/>
          <w:b/>
          <w:bCs/>
          <w:sz w:val="24"/>
          <w:szCs w:val="24"/>
          <w:u w:val="single"/>
        </w:rPr>
      </w:pPr>
      <w:r w:rsidRPr="00024D3A">
        <w:rPr>
          <w:rFonts w:ascii="Times New Roman" w:hAnsi="Times New Roman" w:cs="Times New Roman"/>
          <w:b/>
          <w:bCs/>
          <w:sz w:val="24"/>
          <w:szCs w:val="24"/>
          <w:u w:val="single"/>
        </w:rPr>
        <w:t>Erythrocytes reptiliens</w:t>
      </w:r>
    </w:p>
    <w:p w:rsidR="0036506E" w:rsidRPr="00AD0523" w:rsidRDefault="0036506E" w:rsidP="00AD0523">
      <w:pPr>
        <w:pStyle w:val="PrformatHTML"/>
        <w:spacing w:line="360" w:lineRule="auto"/>
        <w:jc w:val="both"/>
        <w:rPr>
          <w:rFonts w:ascii="Times New Roman" w:hAnsi="Times New Roman" w:cs="Times New Roman"/>
          <w:sz w:val="24"/>
          <w:szCs w:val="24"/>
        </w:rPr>
      </w:pPr>
    </w:p>
    <w:p w:rsidR="00024D3A" w:rsidRDefault="00024D3A" w:rsidP="00024D3A">
      <w:pPr>
        <w:pStyle w:val="PrformatHTML"/>
        <w:spacing w:line="360" w:lineRule="auto"/>
        <w:jc w:val="both"/>
        <w:rPr>
          <w:rFonts w:ascii="Times New Roman" w:hAnsi="Times New Roman" w:cs="Times New Roman"/>
          <w:sz w:val="24"/>
          <w:szCs w:val="24"/>
        </w:rPr>
      </w:pPr>
      <w:r w:rsidRPr="00024D3A">
        <w:rPr>
          <w:rFonts w:ascii="Times New Roman" w:hAnsi="Times New Roman" w:cs="Times New Roman"/>
          <w:sz w:val="24"/>
          <w:szCs w:val="24"/>
        </w:rPr>
        <w:t xml:space="preserve">Les érythrocytes matures chez les reptiles sont généralement </w:t>
      </w:r>
      <w:r w:rsidRPr="00024D3A">
        <w:rPr>
          <w:rFonts w:ascii="Times New Roman" w:hAnsi="Times New Roman" w:cs="Times New Roman"/>
          <w:b/>
          <w:bCs/>
          <w:sz w:val="24"/>
          <w:szCs w:val="24"/>
        </w:rPr>
        <w:t>plus gros</w:t>
      </w:r>
      <w:r w:rsidRPr="00024D3A">
        <w:rPr>
          <w:rFonts w:ascii="Times New Roman" w:hAnsi="Times New Roman" w:cs="Times New Roman"/>
          <w:sz w:val="24"/>
          <w:szCs w:val="24"/>
        </w:rPr>
        <w:t xml:space="preserve"> que ceux des oiseaux et des mammifères. </w:t>
      </w:r>
    </w:p>
    <w:p w:rsidR="00024D3A" w:rsidRPr="00024D3A" w:rsidRDefault="00277813" w:rsidP="00024D3A">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1567815</wp:posOffset>
            </wp:positionH>
            <wp:positionV relativeFrom="paragraph">
              <wp:posOffset>521970</wp:posOffset>
            </wp:positionV>
            <wp:extent cx="3829050" cy="3060700"/>
            <wp:effectExtent l="19050" t="0" r="0" b="0"/>
            <wp:wrapTight wrapText="bothSides">
              <wp:wrapPolygon edited="0">
                <wp:start x="-107" y="0"/>
                <wp:lineTo x="-107" y="21510"/>
                <wp:lineTo x="21600" y="21510"/>
                <wp:lineTo x="21600" y="0"/>
                <wp:lineTo x="-107"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829050" cy="3060700"/>
                    </a:xfrm>
                    <a:prstGeom prst="rect">
                      <a:avLst/>
                    </a:prstGeom>
                    <a:noFill/>
                    <a:ln w="9525">
                      <a:noFill/>
                      <a:miter lim="800000"/>
                      <a:headEnd/>
                      <a:tailEnd/>
                    </a:ln>
                  </pic:spPr>
                </pic:pic>
              </a:graphicData>
            </a:graphic>
          </wp:anchor>
        </w:drawing>
      </w:r>
      <w:r w:rsidR="00024D3A" w:rsidRPr="00024D3A">
        <w:rPr>
          <w:rFonts w:ascii="Times New Roman" w:hAnsi="Times New Roman" w:cs="Times New Roman"/>
          <w:sz w:val="24"/>
          <w:szCs w:val="24"/>
        </w:rPr>
        <w:t xml:space="preserve">Les érythrocytes reptiliens sont des </w:t>
      </w:r>
      <w:r w:rsidR="00024D3A" w:rsidRPr="00024D3A">
        <w:rPr>
          <w:rFonts w:ascii="Times New Roman" w:hAnsi="Times New Roman" w:cs="Times New Roman"/>
          <w:b/>
          <w:bCs/>
          <w:sz w:val="24"/>
          <w:szCs w:val="24"/>
        </w:rPr>
        <w:t>cellules ellipsoïdales</w:t>
      </w:r>
      <w:r w:rsidR="00024D3A" w:rsidRPr="00024D3A">
        <w:rPr>
          <w:rFonts w:ascii="Times New Roman" w:hAnsi="Times New Roman" w:cs="Times New Roman"/>
          <w:sz w:val="24"/>
          <w:szCs w:val="24"/>
        </w:rPr>
        <w:t xml:space="preserve"> avec des </w:t>
      </w:r>
      <w:r w:rsidR="00024D3A" w:rsidRPr="00024D3A">
        <w:rPr>
          <w:rFonts w:ascii="Times New Roman" w:hAnsi="Times New Roman" w:cs="Times New Roman"/>
          <w:b/>
          <w:bCs/>
          <w:sz w:val="24"/>
          <w:szCs w:val="24"/>
        </w:rPr>
        <w:t>noyaux centraux</w:t>
      </w:r>
      <w:r w:rsidR="00024D3A" w:rsidRPr="00024D3A">
        <w:rPr>
          <w:rFonts w:ascii="Times New Roman" w:hAnsi="Times New Roman" w:cs="Times New Roman"/>
          <w:sz w:val="24"/>
          <w:szCs w:val="24"/>
        </w:rPr>
        <w:t xml:space="preserve">, </w:t>
      </w:r>
      <w:r w:rsidR="00024D3A" w:rsidRPr="00024D3A">
        <w:rPr>
          <w:rFonts w:ascii="Times New Roman" w:hAnsi="Times New Roman" w:cs="Times New Roman"/>
          <w:b/>
          <w:bCs/>
          <w:sz w:val="24"/>
          <w:szCs w:val="24"/>
        </w:rPr>
        <w:t>ovales</w:t>
      </w:r>
      <w:r w:rsidR="00024D3A" w:rsidRPr="00024D3A">
        <w:rPr>
          <w:rFonts w:ascii="Times New Roman" w:hAnsi="Times New Roman" w:cs="Times New Roman"/>
          <w:sz w:val="24"/>
          <w:szCs w:val="24"/>
        </w:rPr>
        <w:t xml:space="preserve"> à </w:t>
      </w:r>
      <w:r w:rsidR="00024D3A" w:rsidRPr="00024D3A">
        <w:rPr>
          <w:rFonts w:ascii="Times New Roman" w:hAnsi="Times New Roman" w:cs="Times New Roman"/>
          <w:b/>
          <w:bCs/>
          <w:sz w:val="24"/>
          <w:szCs w:val="24"/>
        </w:rPr>
        <w:t>arrondis</w:t>
      </w:r>
      <w:r w:rsidR="00024D3A" w:rsidRPr="00024D3A">
        <w:rPr>
          <w:rFonts w:ascii="Times New Roman" w:hAnsi="Times New Roman" w:cs="Times New Roman"/>
          <w:sz w:val="24"/>
          <w:szCs w:val="24"/>
        </w:rPr>
        <w:t xml:space="preserve">, une </w:t>
      </w:r>
      <w:r w:rsidR="00024D3A" w:rsidRPr="00024D3A">
        <w:rPr>
          <w:rFonts w:ascii="Times New Roman" w:hAnsi="Times New Roman" w:cs="Times New Roman"/>
          <w:b/>
          <w:bCs/>
          <w:sz w:val="24"/>
          <w:szCs w:val="24"/>
        </w:rPr>
        <w:t>chromatine pourpre</w:t>
      </w:r>
      <w:r w:rsidR="00024D3A" w:rsidRPr="00024D3A">
        <w:rPr>
          <w:rFonts w:ascii="Times New Roman" w:hAnsi="Times New Roman" w:cs="Times New Roman"/>
          <w:sz w:val="24"/>
          <w:szCs w:val="24"/>
        </w:rPr>
        <w:t xml:space="preserve"> </w:t>
      </w:r>
      <w:r w:rsidR="00024D3A" w:rsidRPr="00024D3A">
        <w:rPr>
          <w:rFonts w:ascii="Times New Roman" w:hAnsi="Times New Roman" w:cs="Times New Roman"/>
          <w:b/>
          <w:bCs/>
          <w:sz w:val="24"/>
          <w:szCs w:val="24"/>
        </w:rPr>
        <w:t>dense</w:t>
      </w:r>
      <w:r w:rsidR="00024D3A" w:rsidRPr="00024D3A">
        <w:rPr>
          <w:rFonts w:ascii="Times New Roman" w:hAnsi="Times New Roman" w:cs="Times New Roman"/>
          <w:sz w:val="24"/>
          <w:szCs w:val="24"/>
        </w:rPr>
        <w:t xml:space="preserve"> et souvent, des </w:t>
      </w:r>
      <w:r w:rsidR="00024D3A" w:rsidRPr="00024D3A">
        <w:rPr>
          <w:rFonts w:ascii="Times New Roman" w:hAnsi="Times New Roman" w:cs="Times New Roman"/>
          <w:b/>
          <w:bCs/>
          <w:sz w:val="24"/>
          <w:szCs w:val="24"/>
        </w:rPr>
        <w:t>marges irrégulières</w:t>
      </w:r>
      <w:r w:rsidR="00024D3A" w:rsidRPr="00024D3A">
        <w:rPr>
          <w:rFonts w:ascii="Times New Roman" w:hAnsi="Times New Roman" w:cs="Times New Roman"/>
          <w:sz w:val="24"/>
          <w:szCs w:val="24"/>
        </w:rPr>
        <w:t>.</w:t>
      </w:r>
    </w:p>
    <w:p w:rsidR="007E51BF" w:rsidRPr="007E51BF" w:rsidRDefault="007E51BF" w:rsidP="007E51BF">
      <w:pPr>
        <w:pStyle w:val="PrformatHTML"/>
        <w:spacing w:line="360" w:lineRule="auto"/>
        <w:jc w:val="both"/>
        <w:rPr>
          <w:rFonts w:ascii="Times New Roman" w:hAnsi="Times New Roman" w:cs="Times New Roman"/>
          <w:sz w:val="24"/>
          <w:szCs w:val="24"/>
        </w:rPr>
      </w:pPr>
    </w:p>
    <w:p w:rsidR="00277813" w:rsidRPr="00277813" w:rsidRDefault="00277813" w:rsidP="00277813">
      <w:pPr>
        <w:pStyle w:val="PrformatHTML"/>
        <w:rPr>
          <w:rFonts w:ascii="Times New Roman" w:hAnsi="Times New Roman" w:cs="Times New Roman"/>
          <w:sz w:val="24"/>
          <w:szCs w:val="24"/>
        </w:rPr>
      </w:pPr>
      <w:r w:rsidRPr="00277813">
        <w:rPr>
          <w:rFonts w:ascii="Times New Roman" w:hAnsi="Times New Roman" w:cs="Times New Roman"/>
          <w:b/>
          <w:bCs/>
          <w:sz w:val="24"/>
          <w:szCs w:val="24"/>
        </w:rPr>
        <w:t>Figure :</w:t>
      </w:r>
      <w:r>
        <w:t xml:space="preserve"> </w:t>
      </w:r>
      <w:r w:rsidRPr="00277813">
        <w:rPr>
          <w:rFonts w:ascii="Times New Roman" w:hAnsi="Times New Roman" w:cs="Times New Roman"/>
          <w:sz w:val="24"/>
          <w:szCs w:val="24"/>
        </w:rPr>
        <w:t>Érythrocytes normaux dans le sang d'un serpent.</w:t>
      </w:r>
    </w:p>
    <w:p w:rsidR="00277813" w:rsidRPr="00277813" w:rsidRDefault="00277813" w:rsidP="00277813">
      <w:pPr>
        <w:pStyle w:val="PrformatHTML"/>
        <w:rPr>
          <w:rFonts w:ascii="Times New Roman" w:hAnsi="Times New Roman" w:cs="Times New Roman"/>
          <w:sz w:val="24"/>
          <w:szCs w:val="24"/>
        </w:rPr>
      </w:pPr>
      <w:r w:rsidRPr="00277813">
        <w:rPr>
          <w:rFonts w:ascii="Times New Roman" w:hAnsi="Times New Roman" w:cs="Times New Roman"/>
          <w:sz w:val="24"/>
          <w:szCs w:val="24"/>
        </w:rPr>
        <w:t>Tache de Wright-Giemsa.</w:t>
      </w:r>
    </w:p>
    <w:p w:rsidR="008E09F4" w:rsidRDefault="008E09F4">
      <w:pPr>
        <w:rPr>
          <w:rFonts w:ascii="Times New Roman" w:hAnsi="Times New Roman" w:cs="Times New Roman"/>
          <w:sz w:val="24"/>
          <w:szCs w:val="24"/>
        </w:rPr>
      </w:pPr>
    </w:p>
    <w:p w:rsidR="00277813" w:rsidRDefault="00277813">
      <w:pPr>
        <w:rPr>
          <w:rFonts w:ascii="Times New Roman" w:hAnsi="Times New Roman" w:cs="Times New Roman"/>
          <w:sz w:val="24"/>
          <w:szCs w:val="24"/>
        </w:rPr>
      </w:pPr>
    </w:p>
    <w:p w:rsidR="00277813" w:rsidRDefault="00277813">
      <w:pPr>
        <w:rPr>
          <w:rFonts w:ascii="Times New Roman" w:hAnsi="Times New Roman" w:cs="Times New Roman"/>
          <w:sz w:val="24"/>
          <w:szCs w:val="24"/>
        </w:rPr>
      </w:pPr>
    </w:p>
    <w:p w:rsidR="00277813" w:rsidRDefault="00277813">
      <w:pPr>
        <w:rPr>
          <w:rFonts w:ascii="Times New Roman" w:hAnsi="Times New Roman" w:cs="Times New Roman"/>
          <w:sz w:val="24"/>
          <w:szCs w:val="24"/>
        </w:rPr>
      </w:pPr>
    </w:p>
    <w:p w:rsidR="00277813" w:rsidRDefault="00277813">
      <w:pPr>
        <w:rPr>
          <w:rFonts w:ascii="Times New Roman" w:hAnsi="Times New Roman" w:cs="Times New Roman"/>
          <w:sz w:val="24"/>
          <w:szCs w:val="24"/>
        </w:rPr>
      </w:pPr>
    </w:p>
    <w:p w:rsidR="00277813" w:rsidRDefault="00277813">
      <w:pPr>
        <w:rPr>
          <w:rFonts w:ascii="Times New Roman" w:hAnsi="Times New Roman" w:cs="Times New Roman"/>
          <w:sz w:val="24"/>
          <w:szCs w:val="24"/>
        </w:rPr>
      </w:pPr>
    </w:p>
    <w:p w:rsidR="00AF7F8F" w:rsidRPr="00AF7F8F" w:rsidRDefault="00AF7F8F" w:rsidP="00AF7F8F">
      <w:pPr>
        <w:pStyle w:val="PrformatHTML"/>
        <w:spacing w:line="360" w:lineRule="auto"/>
        <w:jc w:val="both"/>
        <w:rPr>
          <w:rFonts w:ascii="Times New Roman" w:hAnsi="Times New Roman" w:cs="Times New Roman"/>
          <w:sz w:val="24"/>
          <w:szCs w:val="24"/>
        </w:rPr>
      </w:pPr>
      <w:r w:rsidRPr="00AF7F8F">
        <w:rPr>
          <w:rFonts w:ascii="Times New Roman" w:hAnsi="Times New Roman" w:cs="Times New Roman"/>
          <w:sz w:val="24"/>
          <w:szCs w:val="24"/>
        </w:rPr>
        <w:t xml:space="preserve">Le </w:t>
      </w:r>
      <w:r w:rsidRPr="00AF7F8F">
        <w:rPr>
          <w:rFonts w:ascii="Times New Roman" w:hAnsi="Times New Roman" w:cs="Times New Roman"/>
          <w:b/>
          <w:bCs/>
          <w:sz w:val="24"/>
          <w:szCs w:val="24"/>
        </w:rPr>
        <w:t>cytoplasme</w:t>
      </w:r>
      <w:r w:rsidRPr="00AF7F8F">
        <w:rPr>
          <w:rFonts w:ascii="Times New Roman" w:hAnsi="Times New Roman" w:cs="Times New Roman"/>
          <w:sz w:val="24"/>
          <w:szCs w:val="24"/>
        </w:rPr>
        <w:t xml:space="preserve"> se colore généralement de </w:t>
      </w:r>
      <w:r w:rsidRPr="00AF7F8F">
        <w:rPr>
          <w:rFonts w:ascii="Times New Roman" w:hAnsi="Times New Roman" w:cs="Times New Roman"/>
          <w:b/>
          <w:bCs/>
          <w:sz w:val="24"/>
          <w:szCs w:val="24"/>
        </w:rPr>
        <w:t>couleur orange uniforme</w:t>
      </w:r>
      <w:r w:rsidRPr="00AF7F8F">
        <w:rPr>
          <w:rFonts w:ascii="Times New Roman" w:hAnsi="Times New Roman" w:cs="Times New Roman"/>
          <w:sz w:val="24"/>
          <w:szCs w:val="24"/>
        </w:rPr>
        <w:t xml:space="preserve"> avec des taches de Romanowsky telles que la coloration de Wright.</w:t>
      </w:r>
    </w:p>
    <w:p w:rsidR="00277813" w:rsidRDefault="00277813">
      <w:pPr>
        <w:rPr>
          <w:rFonts w:ascii="Times New Roman" w:hAnsi="Times New Roman" w:cs="Times New Roman"/>
          <w:sz w:val="24"/>
          <w:szCs w:val="24"/>
        </w:rPr>
      </w:pPr>
    </w:p>
    <w:p w:rsidR="00AF7F8F" w:rsidRDefault="00AF7F8F">
      <w:pPr>
        <w:rPr>
          <w:rFonts w:ascii="Times New Roman" w:hAnsi="Times New Roman" w:cs="Times New Roman"/>
          <w:sz w:val="24"/>
          <w:szCs w:val="24"/>
        </w:rPr>
      </w:pPr>
    </w:p>
    <w:p w:rsidR="00AF7F8F" w:rsidRPr="00AF7F8F" w:rsidRDefault="00AF7F8F" w:rsidP="00AF7F8F">
      <w:pPr>
        <w:rPr>
          <w:rFonts w:ascii="Times New Roman" w:hAnsi="Times New Roman" w:cs="Times New Roman"/>
          <w:sz w:val="24"/>
          <w:szCs w:val="24"/>
        </w:rPr>
      </w:pPr>
    </w:p>
    <w:p w:rsidR="00AF7F8F" w:rsidRPr="00AF7F8F" w:rsidRDefault="00AF7F8F" w:rsidP="00AF7F8F">
      <w:pPr>
        <w:rPr>
          <w:rFonts w:ascii="Times New Roman" w:hAnsi="Times New Roman" w:cs="Times New Roman"/>
          <w:sz w:val="24"/>
          <w:szCs w:val="24"/>
        </w:rPr>
      </w:pPr>
    </w:p>
    <w:p w:rsidR="00AF7F8F" w:rsidRPr="00AF7F8F" w:rsidRDefault="00AF7F8F" w:rsidP="00AF7F8F">
      <w:pPr>
        <w:rPr>
          <w:rFonts w:ascii="Times New Roman" w:hAnsi="Times New Roman" w:cs="Times New Roman"/>
          <w:sz w:val="24"/>
          <w:szCs w:val="24"/>
        </w:rPr>
      </w:pPr>
    </w:p>
    <w:p w:rsidR="00AF7F8F" w:rsidRPr="00AF7F8F" w:rsidRDefault="00AF7F8F" w:rsidP="00AF7F8F">
      <w:pPr>
        <w:rPr>
          <w:rFonts w:ascii="Times New Roman" w:hAnsi="Times New Roman" w:cs="Times New Roman"/>
          <w:sz w:val="24"/>
          <w:szCs w:val="24"/>
        </w:rPr>
      </w:pPr>
    </w:p>
    <w:p w:rsidR="00AF7F8F" w:rsidRPr="00AF7F8F" w:rsidRDefault="00AF7F8F" w:rsidP="00AF7F8F">
      <w:pPr>
        <w:rPr>
          <w:rFonts w:ascii="Times New Roman" w:hAnsi="Times New Roman" w:cs="Times New Roman"/>
          <w:sz w:val="24"/>
          <w:szCs w:val="24"/>
        </w:rPr>
      </w:pPr>
    </w:p>
    <w:p w:rsidR="00AF7F8F" w:rsidRDefault="00AF7F8F" w:rsidP="00AF7F8F">
      <w:pPr>
        <w:rPr>
          <w:rFonts w:ascii="Times New Roman" w:hAnsi="Times New Roman" w:cs="Times New Roman"/>
          <w:sz w:val="24"/>
          <w:szCs w:val="24"/>
        </w:rPr>
      </w:pPr>
    </w:p>
    <w:p w:rsidR="00277813" w:rsidRDefault="00277813" w:rsidP="00AF7F8F">
      <w:pPr>
        <w:rPr>
          <w:rFonts w:ascii="Times New Roman" w:hAnsi="Times New Roman" w:cs="Times New Roman"/>
          <w:sz w:val="24"/>
          <w:szCs w:val="24"/>
        </w:rPr>
      </w:pPr>
    </w:p>
    <w:p w:rsidR="00AF7F8F" w:rsidRDefault="00AF7F8F" w:rsidP="00AF7F8F">
      <w:pPr>
        <w:rPr>
          <w:rFonts w:ascii="Times New Roman" w:hAnsi="Times New Roman" w:cs="Times New Roman"/>
          <w:sz w:val="24"/>
          <w:szCs w:val="24"/>
        </w:rPr>
      </w:pPr>
    </w:p>
    <w:p w:rsidR="00AF7F8F" w:rsidRDefault="00AF7F8F" w:rsidP="00AF7F8F">
      <w:pPr>
        <w:rPr>
          <w:rFonts w:ascii="Times New Roman" w:hAnsi="Times New Roman" w:cs="Times New Roman"/>
          <w:sz w:val="24"/>
          <w:szCs w:val="24"/>
        </w:rPr>
      </w:pPr>
    </w:p>
    <w:p w:rsidR="00AF7F8F" w:rsidRDefault="00AF7F8F" w:rsidP="00AF7F8F">
      <w:pPr>
        <w:pStyle w:val="PrformatHTML"/>
      </w:pPr>
    </w:p>
    <w:p w:rsidR="00AF7F8F" w:rsidRDefault="00AF7F8F" w:rsidP="00AF7F8F">
      <w:pPr>
        <w:pStyle w:val="PrformatHTML"/>
        <w:jc w:val="center"/>
        <w:rPr>
          <w:rFonts w:ascii="Times New Roman" w:hAnsi="Times New Roman" w:cs="Times New Roman"/>
          <w:b/>
          <w:bCs/>
          <w:sz w:val="24"/>
          <w:szCs w:val="24"/>
          <w:u w:val="single"/>
        </w:rPr>
      </w:pPr>
      <w:r w:rsidRPr="00AF7F8F">
        <w:rPr>
          <w:rFonts w:ascii="Times New Roman" w:hAnsi="Times New Roman" w:cs="Times New Roman"/>
          <w:b/>
          <w:bCs/>
          <w:sz w:val="24"/>
          <w:szCs w:val="24"/>
          <w:u w:val="single"/>
        </w:rPr>
        <w:t>Erythrocytes de poisson</w:t>
      </w:r>
    </w:p>
    <w:p w:rsidR="00AF7F8F" w:rsidRDefault="00AF7F8F" w:rsidP="00AF7F8F">
      <w:pPr>
        <w:pStyle w:val="PrformatHTML"/>
        <w:jc w:val="center"/>
        <w:rPr>
          <w:rFonts w:ascii="Times New Roman" w:hAnsi="Times New Roman" w:cs="Times New Roman"/>
          <w:b/>
          <w:bCs/>
          <w:sz w:val="24"/>
          <w:szCs w:val="24"/>
          <w:u w:val="single"/>
        </w:rPr>
      </w:pPr>
    </w:p>
    <w:p w:rsidR="00AF7F8F" w:rsidRPr="00AF7F8F" w:rsidRDefault="00AF7F8F" w:rsidP="00AF7F8F">
      <w:pPr>
        <w:pStyle w:val="PrformatHTML"/>
        <w:spacing w:line="360" w:lineRule="auto"/>
        <w:jc w:val="both"/>
        <w:rPr>
          <w:rFonts w:ascii="Times New Roman" w:hAnsi="Times New Roman" w:cs="Times New Roman"/>
          <w:sz w:val="24"/>
          <w:szCs w:val="24"/>
        </w:rPr>
      </w:pPr>
      <w:r w:rsidRPr="00AF7F8F">
        <w:rPr>
          <w:rFonts w:ascii="Times New Roman" w:hAnsi="Times New Roman" w:cs="Times New Roman"/>
          <w:sz w:val="24"/>
          <w:szCs w:val="24"/>
        </w:rPr>
        <w:t xml:space="preserve">Les érythrocytes normaux et matures du poisson sont </w:t>
      </w:r>
      <w:r w:rsidRPr="00AF7F8F">
        <w:rPr>
          <w:rFonts w:ascii="Times New Roman" w:hAnsi="Times New Roman" w:cs="Times New Roman"/>
          <w:b/>
          <w:bCs/>
          <w:sz w:val="24"/>
          <w:szCs w:val="24"/>
        </w:rPr>
        <w:t>ovales</w:t>
      </w:r>
      <w:r w:rsidRPr="00AF7F8F">
        <w:rPr>
          <w:rFonts w:ascii="Times New Roman" w:hAnsi="Times New Roman" w:cs="Times New Roman"/>
          <w:sz w:val="24"/>
          <w:szCs w:val="24"/>
        </w:rPr>
        <w:t xml:space="preserve"> à </w:t>
      </w:r>
      <w:r w:rsidRPr="00AF7F8F">
        <w:rPr>
          <w:rFonts w:ascii="Times New Roman" w:hAnsi="Times New Roman" w:cs="Times New Roman"/>
          <w:b/>
          <w:bCs/>
          <w:sz w:val="24"/>
          <w:szCs w:val="24"/>
        </w:rPr>
        <w:t>ellipsoïdaux</w:t>
      </w:r>
      <w:r w:rsidRPr="00AF7F8F">
        <w:rPr>
          <w:rFonts w:ascii="Times New Roman" w:hAnsi="Times New Roman" w:cs="Times New Roman"/>
          <w:sz w:val="24"/>
          <w:szCs w:val="24"/>
        </w:rPr>
        <w:t xml:space="preserve">, possèdent un </w:t>
      </w:r>
      <w:r w:rsidRPr="00AF7F8F">
        <w:rPr>
          <w:rFonts w:ascii="Times New Roman" w:hAnsi="Times New Roman" w:cs="Times New Roman"/>
          <w:b/>
          <w:bCs/>
          <w:sz w:val="24"/>
          <w:szCs w:val="24"/>
        </w:rPr>
        <w:t>cytoplasme éosinophile pâle abondant</w:t>
      </w:r>
      <w:r w:rsidRPr="00AF7F8F">
        <w:rPr>
          <w:rFonts w:ascii="Times New Roman" w:hAnsi="Times New Roman" w:cs="Times New Roman"/>
          <w:sz w:val="24"/>
          <w:szCs w:val="24"/>
        </w:rPr>
        <w:t xml:space="preserve">, et incluent un </w:t>
      </w:r>
      <w:r w:rsidRPr="00AF7F8F">
        <w:rPr>
          <w:rFonts w:ascii="Times New Roman" w:hAnsi="Times New Roman" w:cs="Times New Roman"/>
          <w:b/>
          <w:bCs/>
          <w:sz w:val="24"/>
          <w:szCs w:val="24"/>
        </w:rPr>
        <w:t>noyau ovale</w:t>
      </w:r>
      <w:r w:rsidRPr="00AF7F8F">
        <w:rPr>
          <w:rFonts w:ascii="Times New Roman" w:hAnsi="Times New Roman" w:cs="Times New Roman"/>
          <w:sz w:val="24"/>
          <w:szCs w:val="24"/>
        </w:rPr>
        <w:t xml:space="preserve"> à </w:t>
      </w:r>
      <w:r w:rsidRPr="00AF7F8F">
        <w:rPr>
          <w:rFonts w:ascii="Times New Roman" w:hAnsi="Times New Roman" w:cs="Times New Roman"/>
          <w:b/>
          <w:bCs/>
          <w:sz w:val="24"/>
          <w:szCs w:val="24"/>
        </w:rPr>
        <w:t>ellipsoïdal positionné au centre</w:t>
      </w:r>
      <w:r w:rsidRPr="00AF7F8F">
        <w:rPr>
          <w:rFonts w:ascii="Times New Roman" w:hAnsi="Times New Roman" w:cs="Times New Roman"/>
          <w:sz w:val="24"/>
          <w:szCs w:val="24"/>
        </w:rPr>
        <w:t xml:space="preserve"> dans les frottis sanguins colorés par </w:t>
      </w:r>
      <w:r w:rsidRPr="00AF7F8F">
        <w:rPr>
          <w:rFonts w:ascii="Times New Roman" w:hAnsi="Times New Roman" w:cs="Times New Roman"/>
          <w:b/>
          <w:bCs/>
          <w:sz w:val="24"/>
          <w:szCs w:val="24"/>
        </w:rPr>
        <w:t>Romanowsky</w:t>
      </w:r>
      <w:r>
        <w:rPr>
          <w:rFonts w:ascii="Times New Roman" w:hAnsi="Times New Roman" w:cs="Times New Roman"/>
          <w:b/>
          <w:bCs/>
          <w:sz w:val="24"/>
          <w:szCs w:val="24"/>
        </w:rPr>
        <w:t>.</w:t>
      </w:r>
    </w:p>
    <w:p w:rsidR="00125144" w:rsidRPr="00125144" w:rsidRDefault="00125144" w:rsidP="00125144">
      <w:pPr>
        <w:pStyle w:val="PrformatHTML"/>
        <w:spacing w:line="360" w:lineRule="auto"/>
        <w:jc w:val="both"/>
        <w:rPr>
          <w:rFonts w:ascii="Times New Roman" w:hAnsi="Times New Roman" w:cs="Times New Roman"/>
          <w:sz w:val="24"/>
          <w:szCs w:val="24"/>
        </w:rPr>
      </w:pPr>
      <w:r w:rsidRPr="00125144">
        <w:rPr>
          <w:rFonts w:ascii="Times New Roman" w:hAnsi="Times New Roman" w:cs="Times New Roman"/>
          <w:sz w:val="24"/>
          <w:szCs w:val="24"/>
        </w:rPr>
        <w:t>Le grand axe du noyau est parallèle à celui de la cellule, sauf chez quelques espèces à noyaux érythrocytaires ronds. Les noyaux d'érythrocytes de poisson peuvent être volumineux et occuper jusqu'à un quart (ou plus) du volume cellulaire. La chromatine nucléaire est très dense et tache pourpre foncé.</w:t>
      </w:r>
    </w:p>
    <w:p w:rsidR="00125144" w:rsidRPr="00125144" w:rsidRDefault="00125144" w:rsidP="00125144">
      <w:pPr>
        <w:pStyle w:val="PrformatHTML"/>
        <w:spacing w:line="360" w:lineRule="auto"/>
        <w:jc w:val="both"/>
        <w:rPr>
          <w:rFonts w:ascii="Times New Roman" w:hAnsi="Times New Roman" w:cs="Times New Roman"/>
          <w:sz w:val="24"/>
          <w:szCs w:val="24"/>
        </w:rPr>
      </w:pPr>
      <w:r w:rsidRPr="00125144">
        <w:rPr>
          <w:rFonts w:ascii="Times New Roman" w:hAnsi="Times New Roman" w:cs="Times New Roman"/>
          <w:sz w:val="24"/>
          <w:szCs w:val="24"/>
        </w:rPr>
        <w:t>Le cytoplasme est généralement homogène, mais il peut contenir des quantités variables de zones raréfiées ou pâles ou de vacuoles associées à la dégénérescence des organites.</w:t>
      </w:r>
    </w:p>
    <w:p w:rsidR="00AF7F8F" w:rsidRPr="00AF7F8F" w:rsidRDefault="00125144" w:rsidP="00AF7F8F">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1727200</wp:posOffset>
            </wp:positionH>
            <wp:positionV relativeFrom="paragraph">
              <wp:posOffset>255905</wp:posOffset>
            </wp:positionV>
            <wp:extent cx="4004310" cy="3188335"/>
            <wp:effectExtent l="19050" t="0" r="0" b="0"/>
            <wp:wrapTight wrapText="bothSides">
              <wp:wrapPolygon edited="0">
                <wp:start x="-103" y="0"/>
                <wp:lineTo x="-103" y="21424"/>
                <wp:lineTo x="21579" y="21424"/>
                <wp:lineTo x="21579" y="0"/>
                <wp:lineTo x="-103"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004310" cy="3188335"/>
                    </a:xfrm>
                    <a:prstGeom prst="rect">
                      <a:avLst/>
                    </a:prstGeom>
                    <a:noFill/>
                    <a:ln w="9525">
                      <a:noFill/>
                      <a:miter lim="800000"/>
                      <a:headEnd/>
                      <a:tailEnd/>
                    </a:ln>
                  </pic:spPr>
                </pic:pic>
              </a:graphicData>
            </a:graphic>
          </wp:anchor>
        </w:drawing>
      </w:r>
    </w:p>
    <w:p w:rsidR="00125144" w:rsidRPr="00125144" w:rsidRDefault="00125144" w:rsidP="00125144">
      <w:pPr>
        <w:pStyle w:val="PrformatHTML"/>
        <w:rPr>
          <w:rFonts w:ascii="Times New Roman" w:hAnsi="Times New Roman" w:cs="Times New Roman"/>
          <w:b/>
          <w:bCs/>
          <w:sz w:val="24"/>
          <w:szCs w:val="24"/>
        </w:rPr>
      </w:pPr>
      <w:r w:rsidRPr="00125144">
        <w:rPr>
          <w:rFonts w:ascii="Times New Roman" w:hAnsi="Times New Roman" w:cs="Times New Roman"/>
          <w:b/>
          <w:bCs/>
          <w:sz w:val="24"/>
          <w:szCs w:val="24"/>
        </w:rPr>
        <w:t>Figure :</w:t>
      </w:r>
      <w:r>
        <w:t xml:space="preserve"> </w:t>
      </w:r>
      <w:r w:rsidRPr="00125144">
        <w:rPr>
          <w:rFonts w:ascii="Times New Roman" w:hAnsi="Times New Roman" w:cs="Times New Roman"/>
          <w:sz w:val="24"/>
          <w:szCs w:val="24"/>
        </w:rPr>
        <w:t xml:space="preserve">Erythrocytes matures normaux dans le film sanguin d'un </w:t>
      </w:r>
      <w:r w:rsidRPr="00125144">
        <w:rPr>
          <w:rFonts w:ascii="Times New Roman" w:hAnsi="Times New Roman" w:cs="Times New Roman"/>
          <w:b/>
          <w:bCs/>
          <w:sz w:val="24"/>
          <w:szCs w:val="24"/>
        </w:rPr>
        <w:t xml:space="preserve">poisson osseux. </w:t>
      </w:r>
    </w:p>
    <w:p w:rsidR="00125144" w:rsidRPr="00125144" w:rsidRDefault="00125144" w:rsidP="00125144">
      <w:pPr>
        <w:pStyle w:val="PrformatHTML"/>
        <w:rPr>
          <w:rFonts w:ascii="Times New Roman" w:hAnsi="Times New Roman" w:cs="Times New Roman"/>
          <w:sz w:val="24"/>
          <w:szCs w:val="24"/>
        </w:rPr>
      </w:pPr>
      <w:r w:rsidRPr="00125144">
        <w:rPr>
          <w:rFonts w:ascii="Times New Roman" w:hAnsi="Times New Roman" w:cs="Times New Roman"/>
          <w:sz w:val="24"/>
          <w:szCs w:val="24"/>
        </w:rPr>
        <w:t>Tache de Wright-Giemsa.</w:t>
      </w:r>
    </w:p>
    <w:p w:rsidR="00AF7F8F" w:rsidRDefault="00AF7F8F" w:rsidP="00AF7F8F">
      <w:pPr>
        <w:rPr>
          <w:rFonts w:ascii="Times New Roman" w:hAnsi="Times New Roman" w:cs="Times New Roman"/>
          <w:sz w:val="24"/>
          <w:szCs w:val="24"/>
        </w:rPr>
      </w:pPr>
    </w:p>
    <w:p w:rsidR="00277E69" w:rsidRDefault="00277E69" w:rsidP="00AF7F8F">
      <w:pPr>
        <w:rPr>
          <w:rFonts w:ascii="Times New Roman" w:hAnsi="Times New Roman" w:cs="Times New Roman"/>
          <w:sz w:val="24"/>
          <w:szCs w:val="24"/>
        </w:rPr>
      </w:pPr>
    </w:p>
    <w:p w:rsidR="00277E69" w:rsidRDefault="00277E69" w:rsidP="00AF7F8F">
      <w:pPr>
        <w:rPr>
          <w:rFonts w:ascii="Times New Roman" w:hAnsi="Times New Roman" w:cs="Times New Roman"/>
          <w:sz w:val="24"/>
          <w:szCs w:val="24"/>
        </w:rPr>
      </w:pPr>
    </w:p>
    <w:p w:rsidR="00277E69" w:rsidRDefault="00277E69" w:rsidP="00AF7F8F">
      <w:pPr>
        <w:rPr>
          <w:rFonts w:ascii="Times New Roman" w:hAnsi="Times New Roman" w:cs="Times New Roman"/>
          <w:sz w:val="24"/>
          <w:szCs w:val="24"/>
        </w:rPr>
      </w:pPr>
    </w:p>
    <w:p w:rsidR="00277E69" w:rsidRDefault="00277E69" w:rsidP="00AF7F8F">
      <w:pPr>
        <w:rPr>
          <w:rFonts w:ascii="Times New Roman" w:hAnsi="Times New Roman" w:cs="Times New Roman"/>
          <w:sz w:val="24"/>
          <w:szCs w:val="24"/>
        </w:rPr>
      </w:pPr>
    </w:p>
    <w:p w:rsidR="00277E69" w:rsidRDefault="00277E69" w:rsidP="00AF7F8F">
      <w:pPr>
        <w:rPr>
          <w:rFonts w:ascii="Times New Roman" w:hAnsi="Times New Roman" w:cs="Times New Roman"/>
          <w:sz w:val="24"/>
          <w:szCs w:val="24"/>
        </w:rPr>
      </w:pPr>
    </w:p>
    <w:p w:rsidR="00277E69" w:rsidRDefault="00277E69" w:rsidP="00AF7F8F">
      <w:pPr>
        <w:rPr>
          <w:rFonts w:ascii="Times New Roman" w:hAnsi="Times New Roman" w:cs="Times New Roman"/>
          <w:sz w:val="24"/>
          <w:szCs w:val="24"/>
        </w:rPr>
      </w:pPr>
    </w:p>
    <w:p w:rsidR="00277E69" w:rsidRDefault="00277E69" w:rsidP="00AF7F8F">
      <w:pPr>
        <w:rPr>
          <w:rFonts w:ascii="Times New Roman" w:hAnsi="Times New Roman" w:cs="Times New Roman"/>
          <w:sz w:val="24"/>
          <w:szCs w:val="24"/>
        </w:rPr>
      </w:pPr>
    </w:p>
    <w:p w:rsidR="00277E69" w:rsidRDefault="00277E69" w:rsidP="00277E69">
      <w:pPr>
        <w:pStyle w:val="PrformatHTML"/>
        <w:spacing w:line="360" w:lineRule="auto"/>
        <w:jc w:val="both"/>
        <w:rPr>
          <w:rFonts w:ascii="Times New Roman" w:hAnsi="Times New Roman" w:cs="Times New Roman"/>
          <w:sz w:val="24"/>
          <w:szCs w:val="24"/>
        </w:rPr>
      </w:pPr>
      <w:r w:rsidRPr="00277E69">
        <w:rPr>
          <w:rFonts w:ascii="Times New Roman" w:hAnsi="Times New Roman" w:cs="Times New Roman"/>
          <w:sz w:val="24"/>
          <w:szCs w:val="24"/>
        </w:rPr>
        <w:t xml:space="preserve">Les érythrocytes matures de certains poissons sont </w:t>
      </w:r>
      <w:r w:rsidRPr="00277E69">
        <w:rPr>
          <w:rFonts w:ascii="Times New Roman" w:hAnsi="Times New Roman" w:cs="Times New Roman"/>
          <w:b/>
          <w:bCs/>
          <w:sz w:val="24"/>
          <w:szCs w:val="24"/>
        </w:rPr>
        <w:t>biconvexes</w:t>
      </w:r>
      <w:r w:rsidRPr="00277E69">
        <w:rPr>
          <w:rFonts w:ascii="Times New Roman" w:hAnsi="Times New Roman" w:cs="Times New Roman"/>
          <w:sz w:val="24"/>
          <w:szCs w:val="24"/>
        </w:rPr>
        <w:t xml:space="preserve">, avec un gonflement central qui correspond à la position du noyau, alors que ceux des autres espèces sont aplatis et </w:t>
      </w:r>
      <w:r w:rsidRPr="00277E69">
        <w:rPr>
          <w:rFonts w:ascii="Times New Roman" w:hAnsi="Times New Roman" w:cs="Times New Roman"/>
          <w:b/>
          <w:bCs/>
          <w:sz w:val="24"/>
          <w:szCs w:val="24"/>
        </w:rPr>
        <w:t>biconcaves</w:t>
      </w:r>
      <w:r w:rsidRPr="00277E69">
        <w:rPr>
          <w:rFonts w:ascii="Times New Roman" w:hAnsi="Times New Roman" w:cs="Times New Roman"/>
          <w:sz w:val="24"/>
          <w:szCs w:val="24"/>
        </w:rPr>
        <w:t>.</w:t>
      </w:r>
    </w:p>
    <w:p w:rsidR="000130ED" w:rsidRDefault="000130ED" w:rsidP="00277E69">
      <w:pPr>
        <w:pStyle w:val="PrformatHTML"/>
        <w:spacing w:line="360" w:lineRule="auto"/>
        <w:jc w:val="both"/>
        <w:rPr>
          <w:rFonts w:ascii="Times New Roman" w:hAnsi="Times New Roman" w:cs="Times New Roman"/>
          <w:sz w:val="24"/>
          <w:szCs w:val="24"/>
        </w:rPr>
      </w:pPr>
    </w:p>
    <w:p w:rsidR="000130ED" w:rsidRDefault="000130ED" w:rsidP="00277E69">
      <w:pPr>
        <w:pStyle w:val="PrformatHTML"/>
        <w:spacing w:line="360" w:lineRule="auto"/>
        <w:jc w:val="both"/>
        <w:rPr>
          <w:rFonts w:ascii="Times New Roman" w:hAnsi="Times New Roman" w:cs="Times New Roman"/>
          <w:sz w:val="24"/>
          <w:szCs w:val="24"/>
        </w:rPr>
      </w:pPr>
    </w:p>
    <w:p w:rsidR="000130ED" w:rsidRDefault="000130ED" w:rsidP="00277E69">
      <w:pPr>
        <w:pStyle w:val="PrformatHTML"/>
        <w:spacing w:line="360" w:lineRule="auto"/>
        <w:jc w:val="both"/>
        <w:rPr>
          <w:rFonts w:ascii="Times New Roman" w:hAnsi="Times New Roman" w:cs="Times New Roman"/>
          <w:sz w:val="24"/>
          <w:szCs w:val="24"/>
        </w:rPr>
      </w:pPr>
    </w:p>
    <w:p w:rsidR="000130ED" w:rsidRDefault="000130ED" w:rsidP="00277E69">
      <w:pPr>
        <w:pStyle w:val="PrformatHTML"/>
        <w:spacing w:line="360" w:lineRule="auto"/>
        <w:jc w:val="both"/>
        <w:rPr>
          <w:rFonts w:ascii="Times New Roman" w:hAnsi="Times New Roman" w:cs="Times New Roman"/>
          <w:sz w:val="24"/>
          <w:szCs w:val="24"/>
        </w:rPr>
      </w:pPr>
    </w:p>
    <w:p w:rsidR="000130ED" w:rsidRDefault="000130ED" w:rsidP="00277E69">
      <w:pPr>
        <w:pStyle w:val="PrformatHTML"/>
        <w:spacing w:line="360" w:lineRule="auto"/>
        <w:jc w:val="both"/>
        <w:rPr>
          <w:rFonts w:ascii="Times New Roman" w:hAnsi="Times New Roman" w:cs="Times New Roman"/>
          <w:sz w:val="24"/>
          <w:szCs w:val="24"/>
        </w:rPr>
      </w:pPr>
    </w:p>
    <w:p w:rsidR="000130ED" w:rsidRDefault="000130ED" w:rsidP="00277E69">
      <w:pPr>
        <w:pStyle w:val="PrformatHTML"/>
        <w:spacing w:line="360" w:lineRule="auto"/>
        <w:jc w:val="both"/>
        <w:rPr>
          <w:rFonts w:ascii="Times New Roman" w:hAnsi="Times New Roman" w:cs="Times New Roman"/>
          <w:sz w:val="24"/>
          <w:szCs w:val="24"/>
        </w:rPr>
      </w:pPr>
    </w:p>
    <w:p w:rsidR="000130ED" w:rsidRDefault="000130ED" w:rsidP="000130ED">
      <w:pPr>
        <w:pStyle w:val="PrformatHTML"/>
        <w:jc w:val="center"/>
        <w:rPr>
          <w:rFonts w:ascii="Times New Roman" w:hAnsi="Times New Roman" w:cs="Times New Roman"/>
          <w:b/>
          <w:bCs/>
          <w:sz w:val="24"/>
          <w:szCs w:val="24"/>
          <w:u w:val="single"/>
        </w:rPr>
      </w:pPr>
      <w:r w:rsidRPr="000130ED">
        <w:rPr>
          <w:rFonts w:ascii="Times New Roman" w:hAnsi="Times New Roman" w:cs="Times New Roman"/>
          <w:b/>
          <w:bCs/>
          <w:sz w:val="24"/>
          <w:szCs w:val="24"/>
          <w:u w:val="single"/>
        </w:rPr>
        <w:t>Érythrocytes d</w:t>
      </w:r>
      <w:r>
        <w:rPr>
          <w:rFonts w:ascii="Times New Roman" w:hAnsi="Times New Roman" w:cs="Times New Roman"/>
          <w:b/>
          <w:bCs/>
          <w:sz w:val="24"/>
          <w:szCs w:val="24"/>
          <w:u w:val="single"/>
        </w:rPr>
        <w:t xml:space="preserve">es </w:t>
      </w:r>
      <w:r w:rsidRPr="000130ED">
        <w:rPr>
          <w:rFonts w:ascii="Times New Roman" w:hAnsi="Times New Roman" w:cs="Times New Roman"/>
          <w:b/>
          <w:bCs/>
          <w:sz w:val="24"/>
          <w:szCs w:val="24"/>
          <w:u w:val="single"/>
        </w:rPr>
        <w:t>amphibiens</w:t>
      </w:r>
    </w:p>
    <w:p w:rsidR="000130ED" w:rsidRDefault="000130ED" w:rsidP="000130ED">
      <w:pPr>
        <w:pStyle w:val="PrformatHTML"/>
        <w:jc w:val="center"/>
        <w:rPr>
          <w:rFonts w:ascii="Times New Roman" w:hAnsi="Times New Roman" w:cs="Times New Roman"/>
          <w:b/>
          <w:bCs/>
          <w:sz w:val="24"/>
          <w:szCs w:val="24"/>
          <w:u w:val="single"/>
        </w:rPr>
      </w:pPr>
    </w:p>
    <w:p w:rsidR="000130ED" w:rsidRPr="000130ED" w:rsidRDefault="000130ED" w:rsidP="000130ED">
      <w:pPr>
        <w:pStyle w:val="PrformatHTML"/>
        <w:rPr>
          <w:rFonts w:ascii="Times New Roman" w:hAnsi="Times New Roman" w:cs="Times New Roman"/>
          <w:b/>
          <w:bCs/>
          <w:sz w:val="24"/>
          <w:szCs w:val="24"/>
          <w:u w:val="single"/>
        </w:rPr>
      </w:pPr>
    </w:p>
    <w:p w:rsidR="006E4F79" w:rsidRPr="006E4F79" w:rsidRDefault="006E4F79" w:rsidP="00C15EDF">
      <w:pPr>
        <w:pStyle w:val="PrformatHTML"/>
        <w:spacing w:line="360" w:lineRule="auto"/>
        <w:jc w:val="both"/>
        <w:rPr>
          <w:rFonts w:ascii="Times New Roman" w:hAnsi="Times New Roman" w:cs="Times New Roman"/>
          <w:sz w:val="24"/>
          <w:szCs w:val="24"/>
        </w:rPr>
      </w:pPr>
      <w:r w:rsidRPr="006E4F79">
        <w:rPr>
          <w:rFonts w:ascii="Times New Roman" w:hAnsi="Times New Roman" w:cs="Times New Roman"/>
          <w:sz w:val="24"/>
          <w:szCs w:val="24"/>
        </w:rPr>
        <w:t>Les érythrocytes des amphibiens sont de grands disques elliptiques nucléés. Les cellules ont généralement un renflement nucléaire distinct et les marges nucléaires sont souvent irrégulières.</w:t>
      </w:r>
      <w:r w:rsidR="00C15EDF">
        <w:rPr>
          <w:rFonts w:ascii="Times New Roman" w:hAnsi="Times New Roman" w:cs="Times New Roman"/>
          <w:sz w:val="24"/>
          <w:szCs w:val="24"/>
        </w:rPr>
        <w:t xml:space="preserve"> </w:t>
      </w:r>
      <w:r w:rsidRPr="006E4F79">
        <w:rPr>
          <w:rFonts w:ascii="Times New Roman" w:hAnsi="Times New Roman" w:cs="Times New Roman"/>
          <w:sz w:val="24"/>
          <w:szCs w:val="24"/>
        </w:rPr>
        <w:t xml:space="preserve">Les érythrocytes d’amphibiens sont </w:t>
      </w:r>
      <w:r w:rsidRPr="006E4F79">
        <w:rPr>
          <w:rFonts w:ascii="Times New Roman" w:hAnsi="Times New Roman" w:cs="Times New Roman"/>
          <w:b/>
          <w:bCs/>
          <w:sz w:val="24"/>
          <w:szCs w:val="24"/>
        </w:rPr>
        <w:t>plus volumineux</w:t>
      </w:r>
      <w:r w:rsidRPr="006E4F79">
        <w:rPr>
          <w:rFonts w:ascii="Times New Roman" w:hAnsi="Times New Roman" w:cs="Times New Roman"/>
          <w:sz w:val="24"/>
          <w:szCs w:val="24"/>
        </w:rPr>
        <w:t xml:space="preserve"> que ceux d’autres vertébrés.</w:t>
      </w:r>
    </w:p>
    <w:p w:rsidR="00C15EDF" w:rsidRDefault="00C15EDF" w:rsidP="006E4F79">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17752</wp:posOffset>
            </wp:positionH>
            <wp:positionV relativeFrom="paragraph">
              <wp:posOffset>3672</wp:posOffset>
            </wp:positionV>
            <wp:extent cx="3813479" cy="3045350"/>
            <wp:effectExtent l="19050" t="0" r="0" b="0"/>
            <wp:wrapTight wrapText="bothSides">
              <wp:wrapPolygon edited="0">
                <wp:start x="-108" y="0"/>
                <wp:lineTo x="-108" y="21484"/>
                <wp:lineTo x="21580" y="21484"/>
                <wp:lineTo x="21580" y="0"/>
                <wp:lineTo x="-108"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813479" cy="3045350"/>
                    </a:xfrm>
                    <a:prstGeom prst="rect">
                      <a:avLst/>
                    </a:prstGeom>
                    <a:noFill/>
                    <a:ln w="9525">
                      <a:noFill/>
                      <a:miter lim="800000"/>
                      <a:headEnd/>
                      <a:tailEnd/>
                    </a:ln>
                  </pic:spPr>
                </pic:pic>
              </a:graphicData>
            </a:graphic>
          </wp:anchor>
        </w:drawing>
      </w:r>
    </w:p>
    <w:p w:rsidR="00C15EDF" w:rsidRPr="00C15EDF" w:rsidRDefault="00C15EDF" w:rsidP="00C15EDF">
      <w:pPr>
        <w:pStyle w:val="PrformatHTML"/>
        <w:rPr>
          <w:rFonts w:ascii="Times New Roman" w:hAnsi="Times New Roman" w:cs="Times New Roman"/>
          <w:sz w:val="24"/>
          <w:szCs w:val="24"/>
        </w:rPr>
      </w:pPr>
      <w:r w:rsidRPr="00C15EDF">
        <w:rPr>
          <w:rFonts w:ascii="Times New Roman" w:hAnsi="Times New Roman" w:cs="Times New Roman"/>
          <w:b/>
          <w:bCs/>
          <w:sz w:val="24"/>
          <w:szCs w:val="24"/>
        </w:rPr>
        <w:t xml:space="preserve">Figure : </w:t>
      </w:r>
      <w:r w:rsidRPr="00C15EDF">
        <w:rPr>
          <w:rFonts w:ascii="Times New Roman" w:hAnsi="Times New Roman" w:cs="Times New Roman"/>
          <w:sz w:val="24"/>
          <w:szCs w:val="24"/>
        </w:rPr>
        <w:t>Des érythrocytes dans le sang d'une salamandre.</w:t>
      </w:r>
    </w:p>
    <w:p w:rsidR="00C15EDF" w:rsidRDefault="00C15EDF" w:rsidP="00C15EDF">
      <w:pPr>
        <w:pStyle w:val="PrformatHTML"/>
        <w:rPr>
          <w:rFonts w:ascii="Times New Roman" w:hAnsi="Times New Roman" w:cs="Times New Roman"/>
          <w:sz w:val="24"/>
          <w:szCs w:val="24"/>
        </w:rPr>
      </w:pPr>
      <w:r w:rsidRPr="00C15EDF">
        <w:rPr>
          <w:rFonts w:ascii="Times New Roman" w:hAnsi="Times New Roman" w:cs="Times New Roman"/>
          <w:sz w:val="24"/>
          <w:szCs w:val="24"/>
        </w:rPr>
        <w:t>Tache de Wright-Giemsa.</w:t>
      </w:r>
    </w:p>
    <w:p w:rsidR="00C15EDF" w:rsidRDefault="00C15EDF" w:rsidP="006E4F79">
      <w:pPr>
        <w:pStyle w:val="PrformatHTML"/>
        <w:spacing w:line="360" w:lineRule="auto"/>
        <w:jc w:val="both"/>
        <w:rPr>
          <w:rFonts w:ascii="Times New Roman" w:hAnsi="Times New Roman" w:cs="Times New Roman"/>
          <w:sz w:val="24"/>
          <w:szCs w:val="24"/>
        </w:rPr>
      </w:pPr>
    </w:p>
    <w:p w:rsidR="00C15EDF" w:rsidRDefault="00C15EDF" w:rsidP="006E4F79">
      <w:pPr>
        <w:pStyle w:val="PrformatHTML"/>
        <w:spacing w:line="360" w:lineRule="auto"/>
        <w:jc w:val="both"/>
        <w:rPr>
          <w:rFonts w:ascii="Times New Roman" w:hAnsi="Times New Roman" w:cs="Times New Roman"/>
          <w:sz w:val="24"/>
          <w:szCs w:val="24"/>
        </w:rPr>
      </w:pPr>
    </w:p>
    <w:p w:rsidR="00C15EDF" w:rsidRDefault="00C15EDF" w:rsidP="006E4F79">
      <w:pPr>
        <w:pStyle w:val="PrformatHTML"/>
        <w:spacing w:line="360" w:lineRule="auto"/>
        <w:jc w:val="both"/>
        <w:rPr>
          <w:rFonts w:ascii="Times New Roman" w:hAnsi="Times New Roman" w:cs="Times New Roman"/>
          <w:sz w:val="24"/>
          <w:szCs w:val="24"/>
        </w:rPr>
      </w:pPr>
    </w:p>
    <w:p w:rsidR="00C15EDF" w:rsidRDefault="00C15EDF" w:rsidP="006E4F79">
      <w:pPr>
        <w:pStyle w:val="PrformatHTML"/>
        <w:spacing w:line="360" w:lineRule="auto"/>
        <w:jc w:val="both"/>
        <w:rPr>
          <w:rFonts w:ascii="Times New Roman" w:hAnsi="Times New Roman" w:cs="Times New Roman"/>
          <w:sz w:val="24"/>
          <w:szCs w:val="24"/>
        </w:rPr>
      </w:pPr>
    </w:p>
    <w:p w:rsidR="00C15EDF" w:rsidRDefault="00C15EDF" w:rsidP="006E4F79">
      <w:pPr>
        <w:pStyle w:val="PrformatHTML"/>
        <w:spacing w:line="360" w:lineRule="auto"/>
        <w:jc w:val="both"/>
        <w:rPr>
          <w:rFonts w:ascii="Times New Roman" w:hAnsi="Times New Roman" w:cs="Times New Roman"/>
          <w:sz w:val="24"/>
          <w:szCs w:val="24"/>
        </w:rPr>
      </w:pPr>
    </w:p>
    <w:p w:rsidR="00C15EDF" w:rsidRDefault="00C15EDF" w:rsidP="006E4F79">
      <w:pPr>
        <w:pStyle w:val="PrformatHTML"/>
        <w:spacing w:line="360" w:lineRule="auto"/>
        <w:jc w:val="both"/>
        <w:rPr>
          <w:rFonts w:ascii="Times New Roman" w:hAnsi="Times New Roman" w:cs="Times New Roman"/>
          <w:sz w:val="24"/>
          <w:szCs w:val="24"/>
        </w:rPr>
      </w:pPr>
    </w:p>
    <w:p w:rsidR="00C15EDF" w:rsidRDefault="00C15EDF" w:rsidP="006E4F79">
      <w:pPr>
        <w:pStyle w:val="PrformatHTML"/>
        <w:spacing w:line="360" w:lineRule="auto"/>
        <w:jc w:val="both"/>
        <w:rPr>
          <w:rFonts w:ascii="Times New Roman" w:hAnsi="Times New Roman" w:cs="Times New Roman"/>
          <w:sz w:val="24"/>
          <w:szCs w:val="24"/>
        </w:rPr>
      </w:pPr>
    </w:p>
    <w:p w:rsidR="00C15EDF" w:rsidRDefault="00C15EDF" w:rsidP="006E4F79">
      <w:pPr>
        <w:pStyle w:val="PrformatHTML"/>
        <w:spacing w:line="360" w:lineRule="auto"/>
        <w:jc w:val="both"/>
        <w:rPr>
          <w:rFonts w:ascii="Times New Roman" w:hAnsi="Times New Roman" w:cs="Times New Roman"/>
          <w:sz w:val="24"/>
          <w:szCs w:val="24"/>
        </w:rPr>
      </w:pPr>
    </w:p>
    <w:p w:rsidR="006E4F79" w:rsidRPr="006E4F79" w:rsidRDefault="006E4F79" w:rsidP="006E4F79">
      <w:pPr>
        <w:pStyle w:val="PrformatHTML"/>
        <w:spacing w:line="360" w:lineRule="auto"/>
        <w:jc w:val="both"/>
        <w:rPr>
          <w:rFonts w:ascii="Times New Roman" w:hAnsi="Times New Roman" w:cs="Times New Roman"/>
          <w:sz w:val="24"/>
          <w:szCs w:val="24"/>
        </w:rPr>
      </w:pPr>
      <w:r w:rsidRPr="006E4F79">
        <w:rPr>
          <w:rFonts w:ascii="Times New Roman" w:hAnsi="Times New Roman" w:cs="Times New Roman"/>
          <w:sz w:val="24"/>
          <w:szCs w:val="24"/>
        </w:rPr>
        <w:t>La taille moyenne d’une variété d’érythrocytes de grenouilles et de crapaud est de 22 × 14 µm.</w:t>
      </w:r>
    </w:p>
    <w:p w:rsidR="006E4F79" w:rsidRPr="006E4F79" w:rsidRDefault="006E4F79" w:rsidP="006E4F79">
      <w:pPr>
        <w:pStyle w:val="PrformatHTML"/>
        <w:spacing w:line="360" w:lineRule="auto"/>
        <w:jc w:val="both"/>
        <w:rPr>
          <w:rFonts w:ascii="Times New Roman" w:hAnsi="Times New Roman" w:cs="Times New Roman"/>
          <w:sz w:val="24"/>
          <w:szCs w:val="24"/>
        </w:rPr>
      </w:pPr>
      <w:r w:rsidRPr="006E4F79">
        <w:rPr>
          <w:rFonts w:ascii="Times New Roman" w:hAnsi="Times New Roman" w:cs="Times New Roman"/>
          <w:sz w:val="24"/>
          <w:szCs w:val="24"/>
        </w:rPr>
        <w:t>La taille moyenne des érythrocytes des salamandres est de 37,9 × 23,9 µm pour Ambystoma talpoideum et de 34,5 × 19,0 µm pour A. tigrinum.</w:t>
      </w:r>
    </w:p>
    <w:p w:rsidR="006E4F79" w:rsidRDefault="006E4F79" w:rsidP="006E4F79">
      <w:pPr>
        <w:pStyle w:val="PrformatHTML"/>
        <w:spacing w:line="360" w:lineRule="auto"/>
        <w:jc w:val="both"/>
      </w:pPr>
      <w:r w:rsidRPr="006E4F79">
        <w:rPr>
          <w:rFonts w:ascii="Times New Roman" w:hAnsi="Times New Roman" w:cs="Times New Roman"/>
          <w:sz w:val="24"/>
          <w:szCs w:val="24"/>
        </w:rPr>
        <w:t>Le cytoplasme des érythrocytes de grenouille et de crapaud est homogène et rempli d'hémoglobine.</w:t>
      </w:r>
    </w:p>
    <w:p w:rsidR="00C15EDF" w:rsidRPr="00C15EDF" w:rsidRDefault="006E4F79" w:rsidP="00C15EDF">
      <w:pPr>
        <w:pStyle w:val="PrformatHTML"/>
        <w:spacing w:line="360" w:lineRule="auto"/>
        <w:jc w:val="both"/>
        <w:rPr>
          <w:rFonts w:ascii="Times New Roman" w:hAnsi="Times New Roman" w:cs="Times New Roman"/>
          <w:sz w:val="24"/>
          <w:szCs w:val="24"/>
        </w:rPr>
      </w:pPr>
      <w:r w:rsidRPr="006E4F79">
        <w:rPr>
          <w:rFonts w:ascii="Times New Roman" w:hAnsi="Times New Roman" w:cs="Times New Roman"/>
          <w:sz w:val="24"/>
          <w:szCs w:val="24"/>
        </w:rPr>
        <w:t>Les paramètres érythrocytaires des amphibiens varient considérablement d'une espèce à l'autre et ils peuvent être très différents des autres vertébrés, en particulier des mammifères.</w:t>
      </w:r>
      <w:r w:rsidR="00C15EDF">
        <w:rPr>
          <w:rFonts w:ascii="Times New Roman" w:hAnsi="Times New Roman" w:cs="Times New Roman"/>
          <w:sz w:val="24"/>
          <w:szCs w:val="24"/>
        </w:rPr>
        <w:t xml:space="preserve"> </w:t>
      </w:r>
      <w:r w:rsidR="00C15EDF" w:rsidRPr="00C15EDF">
        <w:rPr>
          <w:rFonts w:ascii="Times New Roman" w:hAnsi="Times New Roman" w:cs="Times New Roman"/>
          <w:sz w:val="24"/>
          <w:szCs w:val="24"/>
        </w:rPr>
        <w:t>Par exemple, les valeurs moyennes</w:t>
      </w:r>
      <w:r w:rsidR="00C15EDF">
        <w:rPr>
          <w:rFonts w:ascii="Times New Roman" w:hAnsi="Times New Roman" w:cs="Times New Roman"/>
          <w:sz w:val="24"/>
          <w:szCs w:val="24"/>
        </w:rPr>
        <w:t xml:space="preserve"> </w:t>
      </w:r>
      <w:r w:rsidR="00C15EDF" w:rsidRPr="00C15EDF">
        <w:rPr>
          <w:rFonts w:ascii="Times New Roman" w:hAnsi="Times New Roman" w:cs="Times New Roman"/>
          <w:sz w:val="24"/>
          <w:szCs w:val="24"/>
        </w:rPr>
        <w:t>pour le crapaud à ventr</w:t>
      </w:r>
      <w:r w:rsidR="00C15EDF">
        <w:rPr>
          <w:rFonts w:ascii="Times New Roman" w:hAnsi="Times New Roman" w:cs="Times New Roman"/>
          <w:sz w:val="24"/>
          <w:szCs w:val="24"/>
        </w:rPr>
        <w:t xml:space="preserve">e de feu (Bombina bombina) sont </w:t>
      </w:r>
      <w:r w:rsidR="00C15EDF" w:rsidRPr="00C15EDF">
        <w:rPr>
          <w:rFonts w:ascii="Times New Roman" w:hAnsi="Times New Roman" w:cs="Times New Roman"/>
          <w:sz w:val="24"/>
          <w:szCs w:val="24"/>
        </w:rPr>
        <w:t>signalés comme:</w:t>
      </w:r>
    </w:p>
    <w:p w:rsidR="00C15EDF" w:rsidRDefault="00C15EDF" w:rsidP="00C15EDF">
      <w:pPr>
        <w:pStyle w:val="PrformatHTML"/>
        <w:rPr>
          <w:rFonts w:ascii="Times New Roman" w:hAnsi="Times New Roman" w:cs="Times New Roman"/>
          <w:sz w:val="24"/>
          <w:szCs w:val="24"/>
        </w:rPr>
      </w:pPr>
      <w:r w:rsidRPr="00C15EDF">
        <w:rPr>
          <w:rFonts w:ascii="Times New Roman" w:hAnsi="Times New Roman" w:cs="Times New Roman"/>
          <w:sz w:val="24"/>
          <w:szCs w:val="24"/>
        </w:rPr>
        <w:t>Nombre de globules rouges dans le sang = 0,34 × 10</w:t>
      </w:r>
      <w:r w:rsidRPr="00C15EDF">
        <w:rPr>
          <w:rFonts w:ascii="Times New Roman" w:hAnsi="Times New Roman" w:cs="Times New Roman"/>
          <w:sz w:val="24"/>
          <w:szCs w:val="24"/>
          <w:vertAlign w:val="superscript"/>
        </w:rPr>
        <w:t>6</w:t>
      </w:r>
      <w:r w:rsidRPr="00C15EDF">
        <w:rPr>
          <w:rFonts w:ascii="Times New Roman" w:hAnsi="Times New Roman" w:cs="Times New Roman"/>
          <w:sz w:val="24"/>
          <w:szCs w:val="24"/>
        </w:rPr>
        <w:t xml:space="preserve"> μL pour les </w:t>
      </w:r>
      <w:r>
        <w:rPr>
          <w:rFonts w:ascii="Times New Roman" w:hAnsi="Times New Roman" w:cs="Times New Roman"/>
          <w:sz w:val="24"/>
          <w:szCs w:val="24"/>
        </w:rPr>
        <w:t>males</w:t>
      </w:r>
      <w:r w:rsidRPr="00C15EDF">
        <w:rPr>
          <w:rFonts w:ascii="Times New Roman" w:hAnsi="Times New Roman" w:cs="Times New Roman"/>
          <w:sz w:val="24"/>
          <w:szCs w:val="24"/>
        </w:rPr>
        <w:t xml:space="preserve"> et 0,29 × 10</w:t>
      </w:r>
      <w:r w:rsidRPr="00C15EDF">
        <w:rPr>
          <w:rFonts w:ascii="Times New Roman" w:hAnsi="Times New Roman" w:cs="Times New Roman"/>
          <w:sz w:val="24"/>
          <w:szCs w:val="24"/>
          <w:vertAlign w:val="superscript"/>
        </w:rPr>
        <w:t>6</w:t>
      </w:r>
      <w:r w:rsidRPr="00C15EDF">
        <w:rPr>
          <w:rFonts w:ascii="Times New Roman" w:hAnsi="Times New Roman" w:cs="Times New Roman"/>
          <w:sz w:val="24"/>
          <w:szCs w:val="24"/>
        </w:rPr>
        <w:t xml:space="preserve"> / μL pour les fem</w:t>
      </w:r>
      <w:r>
        <w:rPr>
          <w:rFonts w:ascii="Times New Roman" w:hAnsi="Times New Roman" w:cs="Times New Roman"/>
          <w:sz w:val="24"/>
          <w:szCs w:val="24"/>
        </w:rPr>
        <w:t>elles</w:t>
      </w:r>
      <w:r w:rsidRPr="00C15EDF">
        <w:rPr>
          <w:rFonts w:ascii="Times New Roman" w:hAnsi="Times New Roman" w:cs="Times New Roman"/>
          <w:sz w:val="24"/>
          <w:szCs w:val="24"/>
        </w:rPr>
        <w:t xml:space="preserve">; </w:t>
      </w:r>
    </w:p>
    <w:p w:rsidR="00C15EDF" w:rsidRPr="00C15EDF" w:rsidRDefault="00C15EDF" w:rsidP="00C15EDF">
      <w:pPr>
        <w:pStyle w:val="PrformatHTML"/>
        <w:rPr>
          <w:rFonts w:ascii="Times New Roman" w:hAnsi="Times New Roman" w:cs="Times New Roman"/>
          <w:sz w:val="24"/>
          <w:szCs w:val="24"/>
        </w:rPr>
      </w:pPr>
      <w:r w:rsidRPr="00C15EDF">
        <w:rPr>
          <w:rFonts w:ascii="Times New Roman" w:hAnsi="Times New Roman" w:cs="Times New Roman"/>
          <w:sz w:val="24"/>
          <w:szCs w:val="24"/>
        </w:rPr>
        <w:t>Concentration en hémoglobine = 7,1 g / dL;</w:t>
      </w:r>
    </w:p>
    <w:p w:rsidR="00C15EDF" w:rsidRPr="00C15EDF" w:rsidRDefault="00C15EDF" w:rsidP="00C15EDF">
      <w:pPr>
        <w:pStyle w:val="PrformatHTML"/>
        <w:rPr>
          <w:rFonts w:ascii="Times New Roman" w:hAnsi="Times New Roman" w:cs="Times New Roman"/>
          <w:sz w:val="24"/>
          <w:szCs w:val="24"/>
        </w:rPr>
      </w:pPr>
      <w:r w:rsidRPr="00C15EDF">
        <w:rPr>
          <w:rFonts w:ascii="Times New Roman" w:hAnsi="Times New Roman" w:cs="Times New Roman"/>
          <w:sz w:val="24"/>
          <w:szCs w:val="24"/>
        </w:rPr>
        <w:t>Hématocrite = 19,5%;</w:t>
      </w:r>
    </w:p>
    <w:p w:rsidR="00C15EDF" w:rsidRPr="00C15EDF" w:rsidRDefault="00C15EDF" w:rsidP="00C15EDF">
      <w:pPr>
        <w:pStyle w:val="PrformatHTML"/>
        <w:rPr>
          <w:rFonts w:ascii="Times New Roman" w:hAnsi="Times New Roman" w:cs="Times New Roman"/>
          <w:sz w:val="24"/>
          <w:szCs w:val="24"/>
        </w:rPr>
      </w:pPr>
      <w:r w:rsidRPr="00C15EDF">
        <w:rPr>
          <w:rFonts w:ascii="Times New Roman" w:hAnsi="Times New Roman" w:cs="Times New Roman"/>
          <w:sz w:val="24"/>
          <w:szCs w:val="24"/>
        </w:rPr>
        <w:t>VCM = 607 fl;</w:t>
      </w:r>
    </w:p>
    <w:p w:rsidR="00C15EDF" w:rsidRPr="00C15EDF" w:rsidRDefault="00C15EDF" w:rsidP="00C15EDF">
      <w:pPr>
        <w:pStyle w:val="PrformatHTML"/>
        <w:rPr>
          <w:rFonts w:ascii="Times New Roman" w:hAnsi="Times New Roman" w:cs="Times New Roman"/>
          <w:sz w:val="24"/>
          <w:szCs w:val="24"/>
        </w:rPr>
      </w:pPr>
      <w:r w:rsidRPr="00C15EDF">
        <w:rPr>
          <w:rFonts w:ascii="Times New Roman" w:hAnsi="Times New Roman" w:cs="Times New Roman"/>
          <w:sz w:val="24"/>
          <w:szCs w:val="24"/>
        </w:rPr>
        <w:t>MCH = 218,5 pg; et</w:t>
      </w:r>
    </w:p>
    <w:p w:rsidR="00C15EDF" w:rsidRPr="00C15EDF" w:rsidRDefault="00C15EDF" w:rsidP="00C15EDF">
      <w:pPr>
        <w:pStyle w:val="PrformatHTML"/>
        <w:rPr>
          <w:rFonts w:ascii="Times New Roman" w:hAnsi="Times New Roman" w:cs="Times New Roman"/>
          <w:sz w:val="24"/>
          <w:szCs w:val="24"/>
        </w:rPr>
      </w:pPr>
      <w:r w:rsidRPr="00C15EDF">
        <w:rPr>
          <w:rFonts w:ascii="Times New Roman" w:hAnsi="Times New Roman" w:cs="Times New Roman"/>
          <w:sz w:val="24"/>
          <w:szCs w:val="24"/>
        </w:rPr>
        <w:t>MCHC = 36,8 g / dL</w:t>
      </w:r>
    </w:p>
    <w:p w:rsidR="00277E69" w:rsidRPr="00AF7F8F" w:rsidRDefault="00277E69" w:rsidP="00AF7F8F">
      <w:pPr>
        <w:rPr>
          <w:rFonts w:ascii="Times New Roman" w:hAnsi="Times New Roman" w:cs="Times New Roman"/>
          <w:sz w:val="24"/>
          <w:szCs w:val="24"/>
        </w:rPr>
      </w:pPr>
    </w:p>
    <w:sectPr w:rsidR="00277E69" w:rsidRPr="00AF7F8F" w:rsidSect="008E09F4">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EEB" w:rsidRDefault="00E15EEB" w:rsidP="00A03596">
      <w:pPr>
        <w:spacing w:after="0" w:line="240" w:lineRule="auto"/>
      </w:pPr>
      <w:r>
        <w:separator/>
      </w:r>
    </w:p>
  </w:endnote>
  <w:endnote w:type="continuationSeparator" w:id="1">
    <w:p w:rsidR="00E15EEB" w:rsidRDefault="00E15EEB" w:rsidP="00A03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7788"/>
      <w:docPartObj>
        <w:docPartGallery w:val="Page Numbers (Bottom of Page)"/>
        <w:docPartUnique/>
      </w:docPartObj>
    </w:sdtPr>
    <w:sdtContent>
      <w:p w:rsidR="00A03596" w:rsidRDefault="00A03596">
        <w:pPr>
          <w:pStyle w:val="Pieddepage"/>
          <w:jc w:val="center"/>
        </w:pPr>
        <w:fldSimple w:instr=" PAGE   \* MERGEFORMAT ">
          <w:r w:rsidR="00E15EEB">
            <w:rPr>
              <w:noProof/>
            </w:rPr>
            <w:t>1</w:t>
          </w:r>
        </w:fldSimple>
      </w:p>
    </w:sdtContent>
  </w:sdt>
  <w:p w:rsidR="00A03596" w:rsidRDefault="00A0359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EEB" w:rsidRDefault="00E15EEB" w:rsidP="00A03596">
      <w:pPr>
        <w:spacing w:after="0" w:line="240" w:lineRule="auto"/>
      </w:pPr>
      <w:r>
        <w:separator/>
      </w:r>
    </w:p>
  </w:footnote>
  <w:footnote w:type="continuationSeparator" w:id="1">
    <w:p w:rsidR="00E15EEB" w:rsidRDefault="00E15EEB" w:rsidP="00A035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6524DD"/>
    <w:multiLevelType w:val="hybridMultilevel"/>
    <w:tmpl w:val="4524D7A6"/>
    <w:lvl w:ilvl="0" w:tplc="E1B8E7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461515"/>
    <w:rsid w:val="000130ED"/>
    <w:rsid w:val="00024D3A"/>
    <w:rsid w:val="00044463"/>
    <w:rsid w:val="00125144"/>
    <w:rsid w:val="001B06F5"/>
    <w:rsid w:val="001C6528"/>
    <w:rsid w:val="00277813"/>
    <w:rsid w:val="00277E69"/>
    <w:rsid w:val="002A2C08"/>
    <w:rsid w:val="00313740"/>
    <w:rsid w:val="0036506E"/>
    <w:rsid w:val="0036661F"/>
    <w:rsid w:val="003D2355"/>
    <w:rsid w:val="004005D5"/>
    <w:rsid w:val="00440E77"/>
    <w:rsid w:val="00461515"/>
    <w:rsid w:val="006E4F79"/>
    <w:rsid w:val="007E51BF"/>
    <w:rsid w:val="008A3FA3"/>
    <w:rsid w:val="008E09F4"/>
    <w:rsid w:val="009E5021"/>
    <w:rsid w:val="009E5B9F"/>
    <w:rsid w:val="00A03596"/>
    <w:rsid w:val="00A60087"/>
    <w:rsid w:val="00AD0523"/>
    <w:rsid w:val="00AF7F8F"/>
    <w:rsid w:val="00C15EDF"/>
    <w:rsid w:val="00D07341"/>
    <w:rsid w:val="00E15EEB"/>
    <w:rsid w:val="00E23A37"/>
    <w:rsid w:val="00FE604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9F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461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461515"/>
    <w:rPr>
      <w:rFonts w:ascii="Courier New" w:eastAsia="Times New Roman" w:hAnsi="Courier New" w:cs="Courier New"/>
      <w:sz w:val="20"/>
      <w:szCs w:val="20"/>
      <w:lang w:eastAsia="fr-FR"/>
    </w:rPr>
  </w:style>
  <w:style w:type="paragraph" w:styleId="En-tte">
    <w:name w:val="header"/>
    <w:basedOn w:val="Normal"/>
    <w:link w:val="En-tteCar"/>
    <w:uiPriority w:val="99"/>
    <w:semiHidden/>
    <w:unhideWhenUsed/>
    <w:rsid w:val="00A0359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03596"/>
  </w:style>
  <w:style w:type="paragraph" w:styleId="Pieddepage">
    <w:name w:val="footer"/>
    <w:basedOn w:val="Normal"/>
    <w:link w:val="PieddepageCar"/>
    <w:uiPriority w:val="99"/>
    <w:unhideWhenUsed/>
    <w:rsid w:val="00A035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3596"/>
  </w:style>
  <w:style w:type="paragraph" w:styleId="Textedebulles">
    <w:name w:val="Balloon Text"/>
    <w:basedOn w:val="Normal"/>
    <w:link w:val="TextedebullesCar"/>
    <w:uiPriority w:val="99"/>
    <w:semiHidden/>
    <w:unhideWhenUsed/>
    <w:rsid w:val="000444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4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245365">
      <w:bodyDiv w:val="1"/>
      <w:marLeft w:val="0"/>
      <w:marRight w:val="0"/>
      <w:marTop w:val="0"/>
      <w:marBottom w:val="0"/>
      <w:divBdr>
        <w:top w:val="none" w:sz="0" w:space="0" w:color="auto"/>
        <w:left w:val="none" w:sz="0" w:space="0" w:color="auto"/>
        <w:bottom w:val="none" w:sz="0" w:space="0" w:color="auto"/>
        <w:right w:val="none" w:sz="0" w:space="0" w:color="auto"/>
      </w:divBdr>
    </w:div>
    <w:div w:id="247545962">
      <w:bodyDiv w:val="1"/>
      <w:marLeft w:val="0"/>
      <w:marRight w:val="0"/>
      <w:marTop w:val="0"/>
      <w:marBottom w:val="0"/>
      <w:divBdr>
        <w:top w:val="none" w:sz="0" w:space="0" w:color="auto"/>
        <w:left w:val="none" w:sz="0" w:space="0" w:color="auto"/>
        <w:bottom w:val="none" w:sz="0" w:space="0" w:color="auto"/>
        <w:right w:val="none" w:sz="0" w:space="0" w:color="auto"/>
      </w:divBdr>
    </w:div>
    <w:div w:id="247691282">
      <w:bodyDiv w:val="1"/>
      <w:marLeft w:val="0"/>
      <w:marRight w:val="0"/>
      <w:marTop w:val="0"/>
      <w:marBottom w:val="0"/>
      <w:divBdr>
        <w:top w:val="none" w:sz="0" w:space="0" w:color="auto"/>
        <w:left w:val="none" w:sz="0" w:space="0" w:color="auto"/>
        <w:bottom w:val="none" w:sz="0" w:space="0" w:color="auto"/>
        <w:right w:val="none" w:sz="0" w:space="0" w:color="auto"/>
      </w:divBdr>
    </w:div>
    <w:div w:id="251276769">
      <w:bodyDiv w:val="1"/>
      <w:marLeft w:val="0"/>
      <w:marRight w:val="0"/>
      <w:marTop w:val="0"/>
      <w:marBottom w:val="0"/>
      <w:divBdr>
        <w:top w:val="none" w:sz="0" w:space="0" w:color="auto"/>
        <w:left w:val="none" w:sz="0" w:space="0" w:color="auto"/>
        <w:bottom w:val="none" w:sz="0" w:space="0" w:color="auto"/>
        <w:right w:val="none" w:sz="0" w:space="0" w:color="auto"/>
      </w:divBdr>
    </w:div>
    <w:div w:id="334724080">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450903250">
      <w:bodyDiv w:val="1"/>
      <w:marLeft w:val="0"/>
      <w:marRight w:val="0"/>
      <w:marTop w:val="0"/>
      <w:marBottom w:val="0"/>
      <w:divBdr>
        <w:top w:val="none" w:sz="0" w:space="0" w:color="auto"/>
        <w:left w:val="none" w:sz="0" w:space="0" w:color="auto"/>
        <w:bottom w:val="none" w:sz="0" w:space="0" w:color="auto"/>
        <w:right w:val="none" w:sz="0" w:space="0" w:color="auto"/>
      </w:divBdr>
    </w:div>
    <w:div w:id="511455095">
      <w:bodyDiv w:val="1"/>
      <w:marLeft w:val="0"/>
      <w:marRight w:val="0"/>
      <w:marTop w:val="0"/>
      <w:marBottom w:val="0"/>
      <w:divBdr>
        <w:top w:val="none" w:sz="0" w:space="0" w:color="auto"/>
        <w:left w:val="none" w:sz="0" w:space="0" w:color="auto"/>
        <w:bottom w:val="none" w:sz="0" w:space="0" w:color="auto"/>
        <w:right w:val="none" w:sz="0" w:space="0" w:color="auto"/>
      </w:divBdr>
    </w:div>
    <w:div w:id="563833005">
      <w:bodyDiv w:val="1"/>
      <w:marLeft w:val="0"/>
      <w:marRight w:val="0"/>
      <w:marTop w:val="0"/>
      <w:marBottom w:val="0"/>
      <w:divBdr>
        <w:top w:val="none" w:sz="0" w:space="0" w:color="auto"/>
        <w:left w:val="none" w:sz="0" w:space="0" w:color="auto"/>
        <w:bottom w:val="none" w:sz="0" w:space="0" w:color="auto"/>
        <w:right w:val="none" w:sz="0" w:space="0" w:color="auto"/>
      </w:divBdr>
    </w:div>
    <w:div w:id="579945710">
      <w:bodyDiv w:val="1"/>
      <w:marLeft w:val="0"/>
      <w:marRight w:val="0"/>
      <w:marTop w:val="0"/>
      <w:marBottom w:val="0"/>
      <w:divBdr>
        <w:top w:val="none" w:sz="0" w:space="0" w:color="auto"/>
        <w:left w:val="none" w:sz="0" w:space="0" w:color="auto"/>
        <w:bottom w:val="none" w:sz="0" w:space="0" w:color="auto"/>
        <w:right w:val="none" w:sz="0" w:space="0" w:color="auto"/>
      </w:divBdr>
    </w:div>
    <w:div w:id="604700887">
      <w:bodyDiv w:val="1"/>
      <w:marLeft w:val="0"/>
      <w:marRight w:val="0"/>
      <w:marTop w:val="0"/>
      <w:marBottom w:val="0"/>
      <w:divBdr>
        <w:top w:val="none" w:sz="0" w:space="0" w:color="auto"/>
        <w:left w:val="none" w:sz="0" w:space="0" w:color="auto"/>
        <w:bottom w:val="none" w:sz="0" w:space="0" w:color="auto"/>
        <w:right w:val="none" w:sz="0" w:space="0" w:color="auto"/>
      </w:divBdr>
    </w:div>
    <w:div w:id="691805513">
      <w:bodyDiv w:val="1"/>
      <w:marLeft w:val="0"/>
      <w:marRight w:val="0"/>
      <w:marTop w:val="0"/>
      <w:marBottom w:val="0"/>
      <w:divBdr>
        <w:top w:val="none" w:sz="0" w:space="0" w:color="auto"/>
        <w:left w:val="none" w:sz="0" w:space="0" w:color="auto"/>
        <w:bottom w:val="none" w:sz="0" w:space="0" w:color="auto"/>
        <w:right w:val="none" w:sz="0" w:space="0" w:color="auto"/>
      </w:divBdr>
    </w:div>
    <w:div w:id="934703284">
      <w:bodyDiv w:val="1"/>
      <w:marLeft w:val="0"/>
      <w:marRight w:val="0"/>
      <w:marTop w:val="0"/>
      <w:marBottom w:val="0"/>
      <w:divBdr>
        <w:top w:val="none" w:sz="0" w:space="0" w:color="auto"/>
        <w:left w:val="none" w:sz="0" w:space="0" w:color="auto"/>
        <w:bottom w:val="none" w:sz="0" w:space="0" w:color="auto"/>
        <w:right w:val="none" w:sz="0" w:space="0" w:color="auto"/>
      </w:divBdr>
    </w:div>
    <w:div w:id="946738687">
      <w:bodyDiv w:val="1"/>
      <w:marLeft w:val="0"/>
      <w:marRight w:val="0"/>
      <w:marTop w:val="0"/>
      <w:marBottom w:val="0"/>
      <w:divBdr>
        <w:top w:val="none" w:sz="0" w:space="0" w:color="auto"/>
        <w:left w:val="none" w:sz="0" w:space="0" w:color="auto"/>
        <w:bottom w:val="none" w:sz="0" w:space="0" w:color="auto"/>
        <w:right w:val="none" w:sz="0" w:space="0" w:color="auto"/>
      </w:divBdr>
    </w:div>
    <w:div w:id="965819499">
      <w:bodyDiv w:val="1"/>
      <w:marLeft w:val="0"/>
      <w:marRight w:val="0"/>
      <w:marTop w:val="0"/>
      <w:marBottom w:val="0"/>
      <w:divBdr>
        <w:top w:val="none" w:sz="0" w:space="0" w:color="auto"/>
        <w:left w:val="none" w:sz="0" w:space="0" w:color="auto"/>
        <w:bottom w:val="none" w:sz="0" w:space="0" w:color="auto"/>
        <w:right w:val="none" w:sz="0" w:space="0" w:color="auto"/>
      </w:divBdr>
    </w:div>
    <w:div w:id="1090197388">
      <w:bodyDiv w:val="1"/>
      <w:marLeft w:val="0"/>
      <w:marRight w:val="0"/>
      <w:marTop w:val="0"/>
      <w:marBottom w:val="0"/>
      <w:divBdr>
        <w:top w:val="none" w:sz="0" w:space="0" w:color="auto"/>
        <w:left w:val="none" w:sz="0" w:space="0" w:color="auto"/>
        <w:bottom w:val="none" w:sz="0" w:space="0" w:color="auto"/>
        <w:right w:val="none" w:sz="0" w:space="0" w:color="auto"/>
      </w:divBdr>
    </w:div>
    <w:div w:id="1102190907">
      <w:bodyDiv w:val="1"/>
      <w:marLeft w:val="0"/>
      <w:marRight w:val="0"/>
      <w:marTop w:val="0"/>
      <w:marBottom w:val="0"/>
      <w:divBdr>
        <w:top w:val="none" w:sz="0" w:space="0" w:color="auto"/>
        <w:left w:val="none" w:sz="0" w:space="0" w:color="auto"/>
        <w:bottom w:val="none" w:sz="0" w:space="0" w:color="auto"/>
        <w:right w:val="none" w:sz="0" w:space="0" w:color="auto"/>
      </w:divBdr>
    </w:div>
    <w:div w:id="1117331876">
      <w:bodyDiv w:val="1"/>
      <w:marLeft w:val="0"/>
      <w:marRight w:val="0"/>
      <w:marTop w:val="0"/>
      <w:marBottom w:val="0"/>
      <w:divBdr>
        <w:top w:val="none" w:sz="0" w:space="0" w:color="auto"/>
        <w:left w:val="none" w:sz="0" w:space="0" w:color="auto"/>
        <w:bottom w:val="none" w:sz="0" w:space="0" w:color="auto"/>
        <w:right w:val="none" w:sz="0" w:space="0" w:color="auto"/>
      </w:divBdr>
    </w:div>
    <w:div w:id="1213075771">
      <w:bodyDiv w:val="1"/>
      <w:marLeft w:val="0"/>
      <w:marRight w:val="0"/>
      <w:marTop w:val="0"/>
      <w:marBottom w:val="0"/>
      <w:divBdr>
        <w:top w:val="none" w:sz="0" w:space="0" w:color="auto"/>
        <w:left w:val="none" w:sz="0" w:space="0" w:color="auto"/>
        <w:bottom w:val="none" w:sz="0" w:space="0" w:color="auto"/>
        <w:right w:val="none" w:sz="0" w:space="0" w:color="auto"/>
      </w:divBdr>
    </w:div>
    <w:div w:id="1282344921">
      <w:bodyDiv w:val="1"/>
      <w:marLeft w:val="0"/>
      <w:marRight w:val="0"/>
      <w:marTop w:val="0"/>
      <w:marBottom w:val="0"/>
      <w:divBdr>
        <w:top w:val="none" w:sz="0" w:space="0" w:color="auto"/>
        <w:left w:val="none" w:sz="0" w:space="0" w:color="auto"/>
        <w:bottom w:val="none" w:sz="0" w:space="0" w:color="auto"/>
        <w:right w:val="none" w:sz="0" w:space="0" w:color="auto"/>
      </w:divBdr>
    </w:div>
    <w:div w:id="1289243196">
      <w:bodyDiv w:val="1"/>
      <w:marLeft w:val="0"/>
      <w:marRight w:val="0"/>
      <w:marTop w:val="0"/>
      <w:marBottom w:val="0"/>
      <w:divBdr>
        <w:top w:val="none" w:sz="0" w:space="0" w:color="auto"/>
        <w:left w:val="none" w:sz="0" w:space="0" w:color="auto"/>
        <w:bottom w:val="none" w:sz="0" w:space="0" w:color="auto"/>
        <w:right w:val="none" w:sz="0" w:space="0" w:color="auto"/>
      </w:divBdr>
    </w:div>
    <w:div w:id="1404841276">
      <w:bodyDiv w:val="1"/>
      <w:marLeft w:val="0"/>
      <w:marRight w:val="0"/>
      <w:marTop w:val="0"/>
      <w:marBottom w:val="0"/>
      <w:divBdr>
        <w:top w:val="none" w:sz="0" w:space="0" w:color="auto"/>
        <w:left w:val="none" w:sz="0" w:space="0" w:color="auto"/>
        <w:bottom w:val="none" w:sz="0" w:space="0" w:color="auto"/>
        <w:right w:val="none" w:sz="0" w:space="0" w:color="auto"/>
      </w:divBdr>
    </w:div>
    <w:div w:id="1405761845">
      <w:bodyDiv w:val="1"/>
      <w:marLeft w:val="0"/>
      <w:marRight w:val="0"/>
      <w:marTop w:val="0"/>
      <w:marBottom w:val="0"/>
      <w:divBdr>
        <w:top w:val="none" w:sz="0" w:space="0" w:color="auto"/>
        <w:left w:val="none" w:sz="0" w:space="0" w:color="auto"/>
        <w:bottom w:val="none" w:sz="0" w:space="0" w:color="auto"/>
        <w:right w:val="none" w:sz="0" w:space="0" w:color="auto"/>
      </w:divBdr>
    </w:div>
    <w:div w:id="1637906046">
      <w:bodyDiv w:val="1"/>
      <w:marLeft w:val="0"/>
      <w:marRight w:val="0"/>
      <w:marTop w:val="0"/>
      <w:marBottom w:val="0"/>
      <w:divBdr>
        <w:top w:val="none" w:sz="0" w:space="0" w:color="auto"/>
        <w:left w:val="none" w:sz="0" w:space="0" w:color="auto"/>
        <w:bottom w:val="none" w:sz="0" w:space="0" w:color="auto"/>
        <w:right w:val="none" w:sz="0" w:space="0" w:color="auto"/>
      </w:divBdr>
    </w:div>
    <w:div w:id="1667174982">
      <w:bodyDiv w:val="1"/>
      <w:marLeft w:val="0"/>
      <w:marRight w:val="0"/>
      <w:marTop w:val="0"/>
      <w:marBottom w:val="0"/>
      <w:divBdr>
        <w:top w:val="none" w:sz="0" w:space="0" w:color="auto"/>
        <w:left w:val="none" w:sz="0" w:space="0" w:color="auto"/>
        <w:bottom w:val="none" w:sz="0" w:space="0" w:color="auto"/>
        <w:right w:val="none" w:sz="0" w:space="0" w:color="auto"/>
      </w:divBdr>
    </w:div>
    <w:div w:id="1882326821">
      <w:bodyDiv w:val="1"/>
      <w:marLeft w:val="0"/>
      <w:marRight w:val="0"/>
      <w:marTop w:val="0"/>
      <w:marBottom w:val="0"/>
      <w:divBdr>
        <w:top w:val="none" w:sz="0" w:space="0" w:color="auto"/>
        <w:left w:val="none" w:sz="0" w:space="0" w:color="auto"/>
        <w:bottom w:val="none" w:sz="0" w:space="0" w:color="auto"/>
        <w:right w:val="none" w:sz="0" w:space="0" w:color="auto"/>
      </w:divBdr>
    </w:div>
    <w:div w:id="1946033066">
      <w:bodyDiv w:val="1"/>
      <w:marLeft w:val="0"/>
      <w:marRight w:val="0"/>
      <w:marTop w:val="0"/>
      <w:marBottom w:val="0"/>
      <w:divBdr>
        <w:top w:val="none" w:sz="0" w:space="0" w:color="auto"/>
        <w:left w:val="none" w:sz="0" w:space="0" w:color="auto"/>
        <w:bottom w:val="none" w:sz="0" w:space="0" w:color="auto"/>
        <w:right w:val="none" w:sz="0" w:space="0" w:color="auto"/>
      </w:divBdr>
    </w:div>
    <w:div w:id="1946183058">
      <w:bodyDiv w:val="1"/>
      <w:marLeft w:val="0"/>
      <w:marRight w:val="0"/>
      <w:marTop w:val="0"/>
      <w:marBottom w:val="0"/>
      <w:divBdr>
        <w:top w:val="none" w:sz="0" w:space="0" w:color="auto"/>
        <w:left w:val="none" w:sz="0" w:space="0" w:color="auto"/>
        <w:bottom w:val="none" w:sz="0" w:space="0" w:color="auto"/>
        <w:right w:val="none" w:sz="0" w:space="0" w:color="auto"/>
      </w:divBdr>
    </w:div>
    <w:div w:id="2046445233">
      <w:bodyDiv w:val="1"/>
      <w:marLeft w:val="0"/>
      <w:marRight w:val="0"/>
      <w:marTop w:val="0"/>
      <w:marBottom w:val="0"/>
      <w:divBdr>
        <w:top w:val="none" w:sz="0" w:space="0" w:color="auto"/>
        <w:left w:val="none" w:sz="0" w:space="0" w:color="auto"/>
        <w:bottom w:val="none" w:sz="0" w:space="0" w:color="auto"/>
        <w:right w:val="none" w:sz="0" w:space="0" w:color="auto"/>
      </w:divBdr>
    </w:div>
    <w:div w:id="2080403838">
      <w:bodyDiv w:val="1"/>
      <w:marLeft w:val="0"/>
      <w:marRight w:val="0"/>
      <w:marTop w:val="0"/>
      <w:marBottom w:val="0"/>
      <w:divBdr>
        <w:top w:val="none" w:sz="0" w:space="0" w:color="auto"/>
        <w:left w:val="none" w:sz="0" w:space="0" w:color="auto"/>
        <w:bottom w:val="none" w:sz="0" w:space="0" w:color="auto"/>
        <w:right w:val="none" w:sz="0" w:space="0" w:color="auto"/>
      </w:divBdr>
    </w:div>
    <w:div w:id="209080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7</Pages>
  <Words>1463</Words>
  <Characters>8048</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26</cp:revision>
  <dcterms:created xsi:type="dcterms:W3CDTF">2019-05-05T06:13:00Z</dcterms:created>
  <dcterms:modified xsi:type="dcterms:W3CDTF">2019-05-05T08:02:00Z</dcterms:modified>
</cp:coreProperties>
</file>