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38" w:rsidRPr="00B95E38" w:rsidRDefault="00B43274" w:rsidP="00B95E38">
      <w:pPr>
        <w:jc w:val="center"/>
        <w:rPr>
          <w:rFonts w:asciiTheme="majorBidi" w:hAnsiTheme="majorBidi" w:cstheme="majorBidi"/>
          <w:sz w:val="24"/>
          <w:szCs w:val="24"/>
        </w:rPr>
      </w:pPr>
      <w:r w:rsidRPr="00B95E38">
        <w:rPr>
          <w:rFonts w:asciiTheme="majorBidi" w:hAnsiTheme="majorBidi" w:cstheme="majorBidi"/>
          <w:b/>
          <w:bCs/>
          <w:sz w:val="24"/>
          <w:szCs w:val="24"/>
        </w:rPr>
        <w:t xml:space="preserve">Chapitre 01 : </w:t>
      </w:r>
      <w:r w:rsidR="00B95E38" w:rsidRPr="00B95E38">
        <w:rPr>
          <w:rFonts w:asciiTheme="majorBidi" w:hAnsiTheme="majorBidi" w:cstheme="majorBidi"/>
          <w:b/>
          <w:sz w:val="24"/>
          <w:szCs w:val="24"/>
        </w:rPr>
        <w:t>Méthodes d’analyses de l’eau</w:t>
      </w:r>
    </w:p>
    <w:p w:rsidR="00B43274" w:rsidRPr="00B95E38" w:rsidRDefault="00B43274" w:rsidP="00B95E38">
      <w:pPr>
        <w:jc w:val="both"/>
        <w:rPr>
          <w:rFonts w:asciiTheme="majorBidi" w:hAnsiTheme="majorBidi" w:cstheme="majorBidi"/>
          <w:b/>
          <w:bCs/>
          <w:sz w:val="24"/>
          <w:szCs w:val="24"/>
        </w:rPr>
      </w:pPr>
      <w:r w:rsidRPr="00B95E38">
        <w:rPr>
          <w:rFonts w:asciiTheme="majorBidi" w:hAnsiTheme="majorBidi" w:cstheme="majorBidi"/>
          <w:b/>
          <w:bCs/>
          <w:sz w:val="24"/>
          <w:szCs w:val="24"/>
        </w:rPr>
        <w:t xml:space="preserve">Introduction : </w:t>
      </w:r>
    </w:p>
    <w:p w:rsidR="00A4409A" w:rsidRPr="00B95E38" w:rsidRDefault="00A4409A" w:rsidP="00B95E38">
      <w:pPr>
        <w:pStyle w:val="NormalWeb"/>
        <w:shd w:val="clear" w:color="auto" w:fill="FCFCFC"/>
        <w:spacing w:before="0" w:beforeAutospacing="0" w:after="178" w:afterAutospacing="0" w:line="276" w:lineRule="auto"/>
        <w:jc w:val="both"/>
        <w:rPr>
          <w:rFonts w:asciiTheme="majorBidi" w:hAnsiTheme="majorBidi" w:cstheme="majorBidi"/>
          <w:b/>
          <w:bCs/>
        </w:rPr>
      </w:pPr>
      <w:r w:rsidRPr="00B95E38">
        <w:rPr>
          <w:rFonts w:asciiTheme="majorBidi" w:hAnsiTheme="majorBidi" w:cstheme="majorBidi"/>
        </w:rPr>
        <w:t>L'eau, de formule chimique H</w:t>
      </w:r>
      <w:r w:rsidRPr="00B95E38">
        <w:rPr>
          <w:rFonts w:asciiTheme="majorBidi" w:hAnsiTheme="majorBidi" w:cstheme="majorBidi"/>
          <w:vertAlign w:val="subscript"/>
        </w:rPr>
        <w:t>2</w:t>
      </w:r>
      <w:r w:rsidRPr="00B95E38">
        <w:rPr>
          <w:rFonts w:asciiTheme="majorBidi" w:hAnsiTheme="majorBidi" w:cstheme="majorBidi"/>
        </w:rPr>
        <w:t>O, est le constituant majeur de la plupart des aliments. Bien qu'elle n'apporte aucune valeur énergétique aux aliments, son existence joue un rôle très important. Elle influence la structure, l'apparence, le goût des aliments et leur susceptibilité à la dégradation.</w:t>
      </w:r>
    </w:p>
    <w:p w:rsidR="00A4409A" w:rsidRPr="00B95E38" w:rsidRDefault="00A4409A" w:rsidP="00B95E38">
      <w:pPr>
        <w:jc w:val="both"/>
        <w:rPr>
          <w:rFonts w:asciiTheme="majorBidi" w:hAnsiTheme="majorBidi" w:cstheme="majorBidi"/>
          <w:sz w:val="24"/>
          <w:szCs w:val="24"/>
          <w:shd w:val="clear" w:color="auto" w:fill="FCFCFC"/>
        </w:rPr>
      </w:pPr>
      <w:r w:rsidRPr="00B95E38">
        <w:rPr>
          <w:rStyle w:val="Accentuation"/>
          <w:rFonts w:asciiTheme="majorBidi" w:hAnsiTheme="majorBidi" w:cstheme="majorBidi"/>
          <w:i w:val="0"/>
          <w:iCs w:val="0"/>
          <w:sz w:val="24"/>
          <w:szCs w:val="24"/>
          <w:shd w:val="clear" w:color="auto" w:fill="FCFCFC"/>
        </w:rPr>
        <w:t>La teneur en eau des aliments</w:t>
      </w:r>
      <w:r w:rsidRPr="00B95E38">
        <w:rPr>
          <w:rFonts w:asciiTheme="majorBidi" w:hAnsiTheme="majorBidi" w:cstheme="majorBidi"/>
          <w:sz w:val="24"/>
          <w:szCs w:val="24"/>
          <w:shd w:val="clear" w:color="auto" w:fill="FCFCFC"/>
        </w:rPr>
        <w:t> est très variable: 10 à 20% dans les céréales, 60 à 75% dans les viandes et chairs d'animaux, 80 à 90% dans les fruits et légumes frais (tableau 01).</w:t>
      </w:r>
    </w:p>
    <w:p w:rsidR="00A4409A" w:rsidRPr="00B95E38" w:rsidRDefault="00A4409A" w:rsidP="00B95E38">
      <w:pPr>
        <w:jc w:val="both"/>
        <w:rPr>
          <w:rFonts w:asciiTheme="majorBidi" w:hAnsiTheme="majorBidi" w:cstheme="majorBidi"/>
          <w:sz w:val="24"/>
          <w:szCs w:val="24"/>
          <w:shd w:val="clear" w:color="auto" w:fill="FCFCFC"/>
        </w:rPr>
      </w:pPr>
      <w:r w:rsidRPr="00B95E38">
        <w:rPr>
          <w:rFonts w:asciiTheme="majorBidi" w:hAnsiTheme="majorBidi" w:cstheme="majorBidi"/>
          <w:sz w:val="24"/>
          <w:szCs w:val="24"/>
          <w:shd w:val="clear" w:color="auto" w:fill="FCFCFC"/>
        </w:rPr>
        <w:t>La connaissance de la teneur en eau des produits alimentaires est souvent nécessaire et ce pour :</w:t>
      </w:r>
    </w:p>
    <w:p w:rsidR="00A4409A" w:rsidRPr="00B95E38" w:rsidRDefault="00A4409A" w:rsidP="00B95E38">
      <w:pPr>
        <w:pStyle w:val="Paragraphedeliste"/>
        <w:numPr>
          <w:ilvl w:val="0"/>
          <w:numId w:val="3"/>
        </w:numPr>
        <w:jc w:val="both"/>
        <w:rPr>
          <w:rFonts w:asciiTheme="majorBidi" w:hAnsiTheme="majorBidi" w:cstheme="majorBidi"/>
          <w:sz w:val="24"/>
          <w:szCs w:val="24"/>
          <w:shd w:val="clear" w:color="auto" w:fill="FCFCFC"/>
        </w:rPr>
      </w:pPr>
      <w:r w:rsidRPr="00B95E38">
        <w:rPr>
          <w:rFonts w:asciiTheme="majorBidi" w:hAnsiTheme="majorBidi" w:cstheme="majorBidi"/>
          <w:b/>
          <w:bCs/>
          <w:sz w:val="24"/>
          <w:szCs w:val="24"/>
          <w:shd w:val="clear" w:color="auto" w:fill="FCFCFC"/>
        </w:rPr>
        <w:t>Nécessité technologique :</w:t>
      </w:r>
      <w:r w:rsidRPr="00B95E38">
        <w:rPr>
          <w:rFonts w:asciiTheme="majorBidi" w:hAnsiTheme="majorBidi" w:cstheme="majorBidi"/>
          <w:sz w:val="24"/>
          <w:szCs w:val="24"/>
          <w:shd w:val="clear" w:color="auto" w:fill="FCFCFC"/>
        </w:rPr>
        <w:t xml:space="preserve"> La connaissance de la teneur en eau des aliments est nécessaire pour la conduite rationnelle des opérations de récolte, de séchage, de stockage ou de transformation industrielle. C'est un paramètre essentiel pour l'évaluation et la maîtrise des risques d'altération pendant l'entreposage des denrées alimentaires.</w:t>
      </w:r>
    </w:p>
    <w:p w:rsidR="00A4409A" w:rsidRPr="00B95E38" w:rsidRDefault="00A4409A" w:rsidP="00B95E38">
      <w:pPr>
        <w:pStyle w:val="Paragraphedeliste"/>
        <w:numPr>
          <w:ilvl w:val="0"/>
          <w:numId w:val="3"/>
        </w:numPr>
        <w:jc w:val="both"/>
        <w:rPr>
          <w:rFonts w:asciiTheme="majorBidi" w:hAnsiTheme="majorBidi" w:cstheme="majorBidi"/>
          <w:sz w:val="24"/>
          <w:szCs w:val="24"/>
          <w:shd w:val="clear" w:color="auto" w:fill="FCFCFC"/>
        </w:rPr>
      </w:pPr>
      <w:r w:rsidRPr="00B95E38">
        <w:rPr>
          <w:rFonts w:asciiTheme="majorBidi" w:hAnsiTheme="majorBidi" w:cstheme="majorBidi"/>
          <w:b/>
          <w:bCs/>
          <w:sz w:val="24"/>
          <w:szCs w:val="24"/>
          <w:shd w:val="clear" w:color="auto" w:fill="FCFCFC"/>
        </w:rPr>
        <w:t>Nécessité réglementaire :</w:t>
      </w:r>
      <w:r w:rsidRPr="00B95E38">
        <w:rPr>
          <w:rFonts w:asciiTheme="majorBidi" w:hAnsiTheme="majorBidi" w:cstheme="majorBidi"/>
          <w:sz w:val="24"/>
          <w:szCs w:val="24"/>
          <w:shd w:val="clear" w:color="auto" w:fill="FCFCFC"/>
        </w:rPr>
        <w:t xml:space="preserve"> Dans le cas où des textes réglementaires fixent la teneur limite en eau de certains aliments pour des raisons d'hygiène ou pour garantir la loyauté des transactions commerciale.</w:t>
      </w:r>
    </w:p>
    <w:p w:rsidR="00A4409A" w:rsidRPr="00B95E38" w:rsidRDefault="00A4409A" w:rsidP="00B95E38">
      <w:pPr>
        <w:pStyle w:val="Paragraphedeliste"/>
        <w:numPr>
          <w:ilvl w:val="0"/>
          <w:numId w:val="3"/>
        </w:numPr>
        <w:jc w:val="both"/>
        <w:rPr>
          <w:rFonts w:asciiTheme="majorBidi" w:hAnsiTheme="majorBidi" w:cstheme="majorBidi"/>
          <w:sz w:val="24"/>
          <w:szCs w:val="24"/>
          <w:shd w:val="clear" w:color="auto" w:fill="FCFCFC"/>
        </w:rPr>
      </w:pPr>
      <w:r w:rsidRPr="00B95E38">
        <w:rPr>
          <w:rFonts w:asciiTheme="majorBidi" w:hAnsiTheme="majorBidi" w:cstheme="majorBidi"/>
          <w:b/>
          <w:bCs/>
          <w:sz w:val="24"/>
          <w:szCs w:val="24"/>
          <w:shd w:val="clear" w:color="auto" w:fill="FCFCFC"/>
        </w:rPr>
        <w:t>Nécessité contractuelle :</w:t>
      </w:r>
      <w:r w:rsidRPr="00B95E38">
        <w:rPr>
          <w:rFonts w:asciiTheme="majorBidi" w:hAnsiTheme="majorBidi" w:cstheme="majorBidi"/>
          <w:sz w:val="24"/>
          <w:szCs w:val="24"/>
          <w:shd w:val="clear" w:color="auto" w:fill="FCFCFC"/>
        </w:rPr>
        <w:t xml:space="preserve"> Dans le cas où des contrats commerciaux exigent une teneur limite en eau dans un aliment.</w:t>
      </w:r>
    </w:p>
    <w:p w:rsidR="00A4409A" w:rsidRPr="00B95E38" w:rsidRDefault="00A4409A" w:rsidP="00B95E38">
      <w:pPr>
        <w:pStyle w:val="Paragraphedeliste"/>
        <w:numPr>
          <w:ilvl w:val="0"/>
          <w:numId w:val="3"/>
        </w:numPr>
        <w:jc w:val="both"/>
        <w:rPr>
          <w:rFonts w:asciiTheme="majorBidi" w:hAnsiTheme="majorBidi" w:cstheme="majorBidi"/>
          <w:sz w:val="24"/>
          <w:szCs w:val="24"/>
          <w:shd w:val="clear" w:color="auto" w:fill="FCFCFC"/>
        </w:rPr>
      </w:pPr>
      <w:r w:rsidRPr="00B95E38">
        <w:rPr>
          <w:rFonts w:asciiTheme="majorBidi" w:hAnsiTheme="majorBidi" w:cstheme="majorBidi"/>
          <w:b/>
          <w:bCs/>
          <w:sz w:val="24"/>
          <w:szCs w:val="24"/>
          <w:shd w:val="clear" w:color="auto" w:fill="FCFCFC"/>
        </w:rPr>
        <w:t>Nécessité analytique :</w:t>
      </w:r>
      <w:r w:rsidRPr="00B95E38">
        <w:rPr>
          <w:rFonts w:asciiTheme="majorBidi" w:hAnsiTheme="majorBidi" w:cstheme="majorBidi"/>
          <w:sz w:val="24"/>
          <w:szCs w:val="24"/>
          <w:shd w:val="clear" w:color="auto" w:fill="FCFCFC"/>
        </w:rPr>
        <w:t xml:space="preserve"> Les résultats d'analyse des produits alimentaires sont souvent exprimés par rapport à une base fixe (matière sèche ou teneur en eau standard).</w:t>
      </w:r>
    </w:p>
    <w:p w:rsidR="00A4409A" w:rsidRPr="00B95E38" w:rsidRDefault="00A4409A" w:rsidP="00B95E38">
      <w:pPr>
        <w:jc w:val="both"/>
        <w:rPr>
          <w:rFonts w:asciiTheme="majorBidi" w:hAnsiTheme="majorBidi" w:cstheme="majorBidi"/>
          <w:sz w:val="24"/>
          <w:szCs w:val="24"/>
          <w:shd w:val="clear" w:color="auto" w:fill="FCFCFC"/>
        </w:rPr>
      </w:pPr>
      <w:r w:rsidRPr="00B95E38">
        <w:rPr>
          <w:rFonts w:asciiTheme="majorBidi" w:hAnsiTheme="majorBidi" w:cstheme="majorBidi"/>
          <w:b/>
          <w:bCs/>
          <w:sz w:val="24"/>
          <w:szCs w:val="24"/>
          <w:shd w:val="clear" w:color="auto" w:fill="FCFCFC"/>
        </w:rPr>
        <w:t>Tableau 01 :</w:t>
      </w:r>
      <w:r w:rsidRPr="00B95E38">
        <w:rPr>
          <w:rFonts w:asciiTheme="majorBidi" w:hAnsiTheme="majorBidi" w:cstheme="majorBidi"/>
          <w:sz w:val="24"/>
          <w:szCs w:val="24"/>
          <w:shd w:val="clear" w:color="auto" w:fill="FCFCFC"/>
        </w:rPr>
        <w:t xml:space="preserve"> Teneur en eau de certains aliments.</w:t>
      </w:r>
    </w:p>
    <w:tbl>
      <w:tblPr>
        <w:tblStyle w:val="Grilledutableau"/>
        <w:tblW w:w="0" w:type="auto"/>
        <w:tblLook w:val="04A0"/>
      </w:tblPr>
      <w:tblGrid>
        <w:gridCol w:w="4606"/>
        <w:gridCol w:w="4606"/>
      </w:tblGrid>
      <w:tr w:rsidR="00A4409A" w:rsidRPr="00B95E38" w:rsidTr="00A4409A">
        <w:trPr>
          <w:trHeight w:val="461"/>
        </w:trPr>
        <w:tc>
          <w:tcPr>
            <w:tcW w:w="4606" w:type="dxa"/>
          </w:tcPr>
          <w:p w:rsidR="00A4409A" w:rsidRPr="00B95E38" w:rsidRDefault="00A4409A" w:rsidP="00B95E38">
            <w:pPr>
              <w:spacing w:line="276" w:lineRule="auto"/>
              <w:jc w:val="both"/>
              <w:rPr>
                <w:rFonts w:asciiTheme="majorBidi" w:hAnsiTheme="majorBidi" w:cstheme="majorBidi"/>
                <w:b/>
                <w:bCs/>
                <w:sz w:val="24"/>
                <w:szCs w:val="24"/>
                <w:shd w:val="clear" w:color="auto" w:fill="FCFCFC"/>
              </w:rPr>
            </w:pPr>
            <w:r w:rsidRPr="00B95E38">
              <w:rPr>
                <w:rFonts w:asciiTheme="majorBidi" w:hAnsiTheme="majorBidi" w:cstheme="majorBidi"/>
                <w:b/>
                <w:bCs/>
                <w:sz w:val="24"/>
                <w:szCs w:val="24"/>
                <w:shd w:val="clear" w:color="auto" w:fill="FCFCFC"/>
              </w:rPr>
              <w:t>Aliments</w:t>
            </w:r>
          </w:p>
        </w:tc>
        <w:tc>
          <w:tcPr>
            <w:tcW w:w="4606" w:type="dxa"/>
          </w:tcPr>
          <w:p w:rsidR="00A4409A" w:rsidRPr="00B95E38" w:rsidRDefault="00A4409A" w:rsidP="00B95E38">
            <w:pPr>
              <w:spacing w:line="276" w:lineRule="auto"/>
              <w:jc w:val="both"/>
              <w:rPr>
                <w:rFonts w:asciiTheme="majorBidi" w:hAnsiTheme="majorBidi" w:cstheme="majorBidi"/>
                <w:b/>
                <w:bCs/>
                <w:sz w:val="24"/>
                <w:szCs w:val="24"/>
                <w:shd w:val="clear" w:color="auto" w:fill="FCFCFC"/>
              </w:rPr>
            </w:pPr>
            <w:r w:rsidRPr="00B95E38">
              <w:rPr>
                <w:rFonts w:asciiTheme="majorBidi" w:hAnsiTheme="majorBidi" w:cstheme="majorBidi"/>
                <w:b/>
                <w:bCs/>
                <w:sz w:val="24"/>
                <w:szCs w:val="24"/>
                <w:shd w:val="clear" w:color="auto" w:fill="FCFCFC"/>
              </w:rPr>
              <w:t>Teneur en eau (%)</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 xml:space="preserve">Viandes de </w:t>
            </w:r>
            <w:proofErr w:type="spellStart"/>
            <w:r w:rsidRPr="00B95E38">
              <w:rPr>
                <w:rFonts w:asciiTheme="majorBidi" w:eastAsia="Times New Roman" w:hAnsiTheme="majorBidi" w:cstheme="majorBidi"/>
                <w:sz w:val="24"/>
                <w:szCs w:val="24"/>
                <w:lang w:eastAsia="fr-FR"/>
              </w:rPr>
              <w:t>boeuf</w:t>
            </w:r>
            <w:proofErr w:type="spellEnd"/>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50 à 70</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Viande de poulet</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74</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Poisson</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65 à 81</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Poires</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80 à 85</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Pommes, pêches, oranges</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85 à 90</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Tomates, fraises</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90 à 95</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Avocat, banane</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74 à 80</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lastRenderedPageBreak/>
              <w:t>Carotte, pomme de terre</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80 à 90</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Laitue, lentilles</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90 à 95</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Miel</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20</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Confiture</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28</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Farine, riz</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12</w:t>
            </w:r>
          </w:p>
        </w:tc>
      </w:tr>
      <w:tr w:rsidR="00A4409A" w:rsidRPr="00B95E38" w:rsidTr="00A2030E">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Poudre de lait</w:t>
            </w:r>
          </w:p>
        </w:tc>
        <w:tc>
          <w:tcPr>
            <w:tcW w:w="4606" w:type="dxa"/>
            <w:vAlign w:val="center"/>
          </w:tcPr>
          <w:p w:rsidR="00A4409A" w:rsidRPr="00B95E38" w:rsidRDefault="00A4409A" w:rsidP="00B95E38">
            <w:pPr>
              <w:spacing w:after="356" w:line="276" w:lineRule="auto"/>
              <w:rPr>
                <w:rFonts w:asciiTheme="majorBidi" w:eastAsia="Times New Roman" w:hAnsiTheme="majorBidi" w:cstheme="majorBidi"/>
                <w:sz w:val="24"/>
                <w:szCs w:val="24"/>
                <w:lang w:eastAsia="fr-FR"/>
              </w:rPr>
            </w:pPr>
            <w:r w:rsidRPr="00B95E38">
              <w:rPr>
                <w:rFonts w:asciiTheme="majorBidi" w:eastAsia="Times New Roman" w:hAnsiTheme="majorBidi" w:cstheme="majorBidi"/>
                <w:sz w:val="24"/>
                <w:szCs w:val="24"/>
                <w:lang w:eastAsia="fr-FR"/>
              </w:rPr>
              <w:t>4</w:t>
            </w:r>
          </w:p>
        </w:tc>
      </w:tr>
    </w:tbl>
    <w:p w:rsidR="00EA49E4" w:rsidRPr="00B95E38" w:rsidRDefault="00EA49E4" w:rsidP="00B95E38">
      <w:pPr>
        <w:pStyle w:val="NormalWeb"/>
        <w:shd w:val="clear" w:color="auto" w:fill="FCFCFC"/>
        <w:spacing w:before="0" w:beforeAutospacing="0" w:after="178" w:afterAutospacing="0" w:line="276" w:lineRule="auto"/>
        <w:jc w:val="both"/>
        <w:rPr>
          <w:rFonts w:asciiTheme="majorBidi" w:hAnsiTheme="majorBidi" w:cstheme="majorBidi"/>
          <w:color w:val="444444"/>
        </w:rPr>
      </w:pPr>
    </w:p>
    <w:p w:rsidR="00EA49E4" w:rsidRPr="00B95E38" w:rsidRDefault="00EA49E4" w:rsidP="00B95E38">
      <w:pPr>
        <w:pStyle w:val="NormalWeb"/>
        <w:numPr>
          <w:ilvl w:val="0"/>
          <w:numId w:val="5"/>
        </w:numPr>
        <w:shd w:val="clear" w:color="auto" w:fill="FCFCFC"/>
        <w:spacing w:before="0" w:beforeAutospacing="0" w:after="178" w:afterAutospacing="0" w:line="276" w:lineRule="auto"/>
        <w:jc w:val="both"/>
        <w:rPr>
          <w:rFonts w:asciiTheme="majorBidi" w:hAnsiTheme="majorBidi" w:cstheme="majorBidi"/>
          <w:b/>
          <w:bCs/>
        </w:rPr>
      </w:pPr>
      <w:r w:rsidRPr="00B95E38">
        <w:rPr>
          <w:rFonts w:asciiTheme="majorBidi" w:hAnsiTheme="majorBidi" w:cstheme="majorBidi"/>
          <w:b/>
          <w:bCs/>
        </w:rPr>
        <w:t>Propriétés fonctionnelles de l’eau dans les aliments</w:t>
      </w:r>
    </w:p>
    <w:p w:rsidR="00EA49E4" w:rsidRPr="00B95E38" w:rsidRDefault="00EA49E4"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L'eau a trois fonctions principales dans les aliments. Ces fonctions sont :</w:t>
      </w:r>
    </w:p>
    <w:p w:rsidR="00EA49E4" w:rsidRPr="00B95E38" w:rsidRDefault="00EA49E4" w:rsidP="00B95E38">
      <w:pPr>
        <w:numPr>
          <w:ilvl w:val="0"/>
          <w:numId w:val="4"/>
        </w:numPr>
        <w:shd w:val="clear" w:color="auto" w:fill="FCFCFC"/>
        <w:spacing w:before="100" w:beforeAutospacing="1" w:after="100" w:afterAutospacing="1"/>
        <w:jc w:val="both"/>
        <w:rPr>
          <w:rFonts w:asciiTheme="majorBidi" w:hAnsiTheme="majorBidi" w:cstheme="majorBidi"/>
          <w:sz w:val="24"/>
          <w:szCs w:val="24"/>
        </w:rPr>
      </w:pPr>
      <w:r w:rsidRPr="00B95E38">
        <w:rPr>
          <w:rStyle w:val="Accentuation"/>
          <w:rFonts w:asciiTheme="majorBidi" w:hAnsiTheme="majorBidi" w:cstheme="majorBidi"/>
          <w:i w:val="0"/>
          <w:iCs w:val="0"/>
          <w:sz w:val="24"/>
          <w:szCs w:val="24"/>
        </w:rPr>
        <w:t>Fonction de solubilisation</w:t>
      </w:r>
      <w:r w:rsidRPr="00B95E38">
        <w:rPr>
          <w:rFonts w:asciiTheme="majorBidi" w:hAnsiTheme="majorBidi" w:cstheme="majorBidi"/>
          <w:sz w:val="24"/>
          <w:szCs w:val="24"/>
        </w:rPr>
        <w:t> (ou </w:t>
      </w:r>
      <w:r w:rsidRPr="00B95E38">
        <w:rPr>
          <w:rStyle w:val="Accentuation"/>
          <w:rFonts w:asciiTheme="majorBidi" w:hAnsiTheme="majorBidi" w:cstheme="majorBidi"/>
          <w:i w:val="0"/>
          <w:iCs w:val="0"/>
          <w:sz w:val="24"/>
          <w:szCs w:val="24"/>
        </w:rPr>
        <w:t>dispersion</w:t>
      </w:r>
      <w:r w:rsidRPr="00B95E38">
        <w:rPr>
          <w:rFonts w:asciiTheme="majorBidi" w:hAnsiTheme="majorBidi" w:cstheme="majorBidi"/>
          <w:sz w:val="24"/>
          <w:szCs w:val="24"/>
        </w:rPr>
        <w:t>) : L'eau dans les aliments est le solvant des constituants hydrophiles.</w:t>
      </w:r>
    </w:p>
    <w:p w:rsidR="00EA49E4" w:rsidRPr="00B95E38" w:rsidRDefault="00EA49E4" w:rsidP="00B95E38">
      <w:pPr>
        <w:numPr>
          <w:ilvl w:val="0"/>
          <w:numId w:val="4"/>
        </w:numPr>
        <w:shd w:val="clear" w:color="auto" w:fill="FCFCFC"/>
        <w:spacing w:before="100" w:beforeAutospacing="1" w:after="100" w:afterAutospacing="1"/>
        <w:jc w:val="both"/>
        <w:rPr>
          <w:rFonts w:asciiTheme="majorBidi" w:hAnsiTheme="majorBidi" w:cstheme="majorBidi"/>
          <w:sz w:val="24"/>
          <w:szCs w:val="24"/>
        </w:rPr>
      </w:pPr>
      <w:r w:rsidRPr="00B95E38">
        <w:rPr>
          <w:rStyle w:val="Accentuation"/>
          <w:rFonts w:asciiTheme="majorBidi" w:hAnsiTheme="majorBidi" w:cstheme="majorBidi"/>
          <w:i w:val="0"/>
          <w:iCs w:val="0"/>
          <w:sz w:val="24"/>
          <w:szCs w:val="24"/>
        </w:rPr>
        <w:t>Fonction de structuration</w:t>
      </w:r>
      <w:r w:rsidRPr="00B95E38">
        <w:rPr>
          <w:rFonts w:asciiTheme="majorBidi" w:hAnsiTheme="majorBidi" w:cstheme="majorBidi"/>
          <w:sz w:val="24"/>
          <w:szCs w:val="24"/>
        </w:rPr>
        <w:t> : L'eau joue un rôle essentiel dans la configuration des macromolécules alimentaires, notamment les protéines et les glucides. L'eau détermine également la structuration de certains constituants en micelle. C'est le cas, par exemple, des caséines dans le lait.</w:t>
      </w:r>
    </w:p>
    <w:p w:rsidR="00EA49E4" w:rsidRPr="00324436" w:rsidRDefault="00EA49E4" w:rsidP="00B95E38">
      <w:pPr>
        <w:numPr>
          <w:ilvl w:val="0"/>
          <w:numId w:val="4"/>
        </w:numPr>
        <w:shd w:val="clear" w:color="auto" w:fill="FCFCFC"/>
        <w:spacing w:before="100" w:beforeAutospacing="1" w:after="100" w:afterAutospacing="1"/>
        <w:jc w:val="both"/>
        <w:rPr>
          <w:rFonts w:asciiTheme="majorBidi" w:hAnsiTheme="majorBidi" w:cstheme="majorBidi"/>
          <w:sz w:val="24"/>
          <w:szCs w:val="24"/>
          <w:shd w:val="clear" w:color="auto" w:fill="FCFCFC"/>
        </w:rPr>
      </w:pPr>
      <w:r w:rsidRPr="00324436">
        <w:rPr>
          <w:rStyle w:val="Accentuation"/>
          <w:rFonts w:asciiTheme="majorBidi" w:hAnsiTheme="majorBidi" w:cstheme="majorBidi"/>
          <w:i w:val="0"/>
          <w:iCs w:val="0"/>
          <w:sz w:val="24"/>
          <w:szCs w:val="24"/>
        </w:rPr>
        <w:t>Fonction de mobilisation</w:t>
      </w:r>
      <w:r w:rsidRPr="00324436">
        <w:rPr>
          <w:rFonts w:asciiTheme="majorBidi" w:hAnsiTheme="majorBidi" w:cstheme="majorBidi"/>
          <w:sz w:val="24"/>
          <w:szCs w:val="24"/>
        </w:rPr>
        <w:t> : L'eau, par rapport aux autres fluides, est le facteur de mobilité le plus répondu dans les produits alimentaires.</w:t>
      </w:r>
    </w:p>
    <w:p w:rsidR="00DF1860" w:rsidRPr="00B95E38" w:rsidRDefault="00DF1860" w:rsidP="00B95E38">
      <w:pPr>
        <w:pStyle w:val="Paragraphedeliste"/>
        <w:numPr>
          <w:ilvl w:val="0"/>
          <w:numId w:val="5"/>
        </w:numPr>
        <w:rPr>
          <w:rFonts w:asciiTheme="majorBidi" w:hAnsiTheme="majorBidi" w:cstheme="majorBidi"/>
          <w:b/>
          <w:bCs/>
          <w:sz w:val="24"/>
          <w:szCs w:val="24"/>
        </w:rPr>
      </w:pPr>
      <w:r w:rsidRPr="00B95E38">
        <w:rPr>
          <w:rFonts w:asciiTheme="majorBidi" w:hAnsiTheme="majorBidi" w:cstheme="majorBidi"/>
          <w:b/>
          <w:bCs/>
          <w:sz w:val="24"/>
          <w:szCs w:val="24"/>
        </w:rPr>
        <w:t xml:space="preserve">Expression de la quantité d’eau dans les aliments </w:t>
      </w:r>
    </w:p>
    <w:p w:rsidR="00DF1860" w:rsidRPr="00B95E38" w:rsidRDefault="00DF1860" w:rsidP="00B95E38">
      <w:pPr>
        <w:pStyle w:val="Titre3"/>
        <w:numPr>
          <w:ilvl w:val="1"/>
          <w:numId w:val="5"/>
        </w:numPr>
        <w:shd w:val="clear" w:color="auto" w:fill="FCFCFC"/>
        <w:spacing w:before="356" w:after="178"/>
        <w:jc w:val="both"/>
        <w:rPr>
          <w:rFonts w:asciiTheme="majorBidi" w:hAnsiTheme="majorBidi"/>
          <w:color w:val="auto"/>
          <w:sz w:val="24"/>
          <w:szCs w:val="24"/>
        </w:rPr>
      </w:pPr>
      <w:r w:rsidRPr="00B95E38">
        <w:rPr>
          <w:rFonts w:asciiTheme="majorBidi" w:hAnsiTheme="majorBidi"/>
          <w:color w:val="auto"/>
          <w:sz w:val="24"/>
          <w:szCs w:val="24"/>
        </w:rPr>
        <w:t>Teneur en eau</w:t>
      </w:r>
    </w:p>
    <w:p w:rsidR="00DF1860" w:rsidRPr="00B95E38" w:rsidRDefault="00DF186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 teneur en eau, ou l'humidité, d'un aliment est la quantité d'eau perdue par la substance lorsqu'on l'amène en équilibre vrai avec une pression de vapeur nulle (Humidité relative égale à 0%). La quantité d'eau perdue est constituée de l'eau fixée par des liaisons hydrogène (eau de sorption, eau retenue par effet capillaire ou osmotique, eau des solutions, eau occluse dans des mailles cristall</w:t>
      </w:r>
      <w:r w:rsidR="000D7E50" w:rsidRPr="00B95E38">
        <w:rPr>
          <w:rFonts w:asciiTheme="majorBidi" w:hAnsiTheme="majorBidi" w:cstheme="majorBidi"/>
        </w:rPr>
        <w:t>ine et eau de cristallisation).</w:t>
      </w:r>
    </w:p>
    <w:p w:rsidR="00DF1860" w:rsidRPr="00B95E38" w:rsidRDefault="00DF186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 teneur en eau d'un échantillon d'aliment s'exprime en % de la masse d'eau rapportée soit à la masse de matière sèche contenue dans l'échantillon, soit à la masse totale de la matière humide de l'échantillon.</w:t>
      </w:r>
    </w:p>
    <w:p w:rsidR="000D7E50" w:rsidRPr="00B95E38" w:rsidRDefault="000D7E50" w:rsidP="00B95E38">
      <w:pPr>
        <w:pStyle w:val="NormalWeb"/>
        <w:numPr>
          <w:ilvl w:val="1"/>
          <w:numId w:val="5"/>
        </w:numPr>
        <w:shd w:val="clear" w:color="auto" w:fill="FCFCFC"/>
        <w:tabs>
          <w:tab w:val="left" w:pos="142"/>
        </w:tabs>
        <w:spacing w:before="0" w:beforeAutospacing="0" w:after="178" w:afterAutospacing="0" w:line="276" w:lineRule="auto"/>
        <w:jc w:val="both"/>
        <w:rPr>
          <w:rFonts w:asciiTheme="majorBidi" w:hAnsiTheme="majorBidi" w:cstheme="majorBidi"/>
          <w:b/>
          <w:bCs/>
        </w:rPr>
      </w:pPr>
      <w:r w:rsidRPr="00B95E38">
        <w:rPr>
          <w:rFonts w:asciiTheme="majorBidi" w:hAnsiTheme="majorBidi" w:cstheme="majorBidi"/>
          <w:b/>
          <w:bCs/>
        </w:rPr>
        <w:t xml:space="preserve"> Activité de l'eau</w:t>
      </w:r>
    </w:p>
    <w:p w:rsidR="000D7E50" w:rsidRPr="00B95E38" w:rsidRDefault="000D7E5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L'activité de l'eau (</w:t>
      </w:r>
      <w:proofErr w:type="spellStart"/>
      <w:r w:rsidRPr="00B95E38">
        <w:rPr>
          <w:rFonts w:asciiTheme="majorBidi" w:hAnsiTheme="majorBidi" w:cstheme="majorBidi"/>
        </w:rPr>
        <w:t>aw</w:t>
      </w:r>
      <w:proofErr w:type="spellEnd"/>
      <w:r w:rsidRPr="00B95E38">
        <w:rPr>
          <w:rFonts w:asciiTheme="majorBidi" w:hAnsiTheme="majorBidi" w:cstheme="majorBidi"/>
        </w:rPr>
        <w:t>) indique la disponibilité de l'eau d'un milieu pour des réactions chimiques, biochimiques, un changement d'état ou un transfert à travers une membrane semi perméable.</w:t>
      </w:r>
    </w:p>
    <w:p w:rsidR="000D7E50" w:rsidRPr="00B95E38" w:rsidRDefault="000D7E5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lastRenderedPageBreak/>
        <w:t>L’activité de l’eau (</w:t>
      </w:r>
      <w:proofErr w:type="spellStart"/>
      <w:r w:rsidRPr="00B95E38">
        <w:rPr>
          <w:rFonts w:asciiTheme="majorBidi" w:hAnsiTheme="majorBidi" w:cstheme="majorBidi"/>
        </w:rPr>
        <w:t>aw</w:t>
      </w:r>
      <w:proofErr w:type="spellEnd"/>
      <w:r w:rsidRPr="00B95E38">
        <w:rPr>
          <w:rFonts w:asciiTheme="majorBidi" w:hAnsiTheme="majorBidi" w:cstheme="majorBidi"/>
        </w:rPr>
        <w:t>) correspond au rapport entre la pression de la vapeur d’eau de l’aliment (pression de la vapeur d'eau à la surface du produit) et la pression de la vapeur d’eau pure à la même température </w:t>
      </w:r>
      <w:r w:rsidR="00F21555" w:rsidRPr="00B95E38">
        <w:rPr>
          <w:rFonts w:asciiTheme="majorBidi" w:hAnsiTheme="majorBidi" w:cstheme="majorBidi"/>
          <w:color w:val="444444"/>
        </w:rPr>
        <w:t>°</w:t>
      </w:r>
      <w:r w:rsidRPr="00B95E38">
        <w:rPr>
          <w:rFonts w:asciiTheme="majorBidi" w:hAnsiTheme="majorBidi" w:cstheme="majorBidi"/>
        </w:rPr>
        <w:t>.</w:t>
      </w:r>
    </w:p>
    <w:p w:rsidR="000D7E50" w:rsidRPr="00B95E38" w:rsidRDefault="000D7E50" w:rsidP="00B95E38">
      <w:pPr>
        <w:pStyle w:val="NormalWeb"/>
        <w:shd w:val="clear" w:color="auto" w:fill="FCFCFC"/>
        <w:tabs>
          <w:tab w:val="left" w:pos="142"/>
        </w:tabs>
        <w:spacing w:before="0" w:beforeAutospacing="0" w:after="178" w:afterAutospacing="0" w:line="276" w:lineRule="auto"/>
        <w:jc w:val="center"/>
        <w:rPr>
          <w:rFonts w:asciiTheme="majorBidi" w:hAnsiTheme="majorBidi" w:cstheme="majorBidi"/>
        </w:rPr>
      </w:pPr>
      <w:r w:rsidRPr="00B95E38">
        <w:rPr>
          <w:rFonts w:asciiTheme="majorBidi" w:hAnsiTheme="majorBidi" w:cstheme="majorBidi"/>
          <w:noProof/>
        </w:rPr>
        <w:drawing>
          <wp:inline distT="0" distB="0" distL="0" distR="0">
            <wp:extent cx="3115945" cy="474345"/>
            <wp:effectExtent l="19050" t="0" r="8255" b="0"/>
            <wp:docPr id="1" name="Image 1" descr="activité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té de l'eau"/>
                    <pic:cNvPicPr>
                      <a:picLocks noChangeAspect="1" noChangeArrowheads="1"/>
                    </pic:cNvPicPr>
                  </pic:nvPicPr>
                  <pic:blipFill>
                    <a:blip r:embed="rId5"/>
                    <a:srcRect/>
                    <a:stretch>
                      <a:fillRect/>
                    </a:stretch>
                  </pic:blipFill>
                  <pic:spPr bwMode="auto">
                    <a:xfrm>
                      <a:off x="0" y="0"/>
                      <a:ext cx="3115945" cy="474345"/>
                    </a:xfrm>
                    <a:prstGeom prst="rect">
                      <a:avLst/>
                    </a:prstGeom>
                    <a:noFill/>
                    <a:ln w="9525">
                      <a:noFill/>
                      <a:miter lim="800000"/>
                      <a:headEnd/>
                      <a:tailEnd/>
                    </a:ln>
                  </pic:spPr>
                </pic:pic>
              </a:graphicData>
            </a:graphic>
          </wp:inline>
        </w:drawing>
      </w:r>
    </w:p>
    <w:p w:rsidR="00944158" w:rsidRPr="00B95E38" w:rsidRDefault="00944158" w:rsidP="00B95E38">
      <w:pPr>
        <w:pStyle w:val="NormalWeb"/>
        <w:shd w:val="clear" w:color="auto" w:fill="FCFCFC"/>
        <w:tabs>
          <w:tab w:val="left" w:pos="142"/>
        </w:tabs>
        <w:spacing w:before="0" w:beforeAutospacing="0" w:after="178" w:afterAutospacing="0" w:line="276" w:lineRule="auto"/>
        <w:jc w:val="center"/>
        <w:rPr>
          <w:rFonts w:asciiTheme="majorBidi" w:hAnsiTheme="majorBidi" w:cstheme="majorBidi"/>
        </w:rPr>
      </w:pPr>
    </w:p>
    <w:p w:rsidR="000D7E50" w:rsidRPr="00B95E38" w:rsidRDefault="000D7E5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 valeur de l'activité de l'eau varie entre 0 (produit sec au point que toute l’eau est liée à l’aliment, et donc sans qualité réactive) et 1 (eau p</w:t>
      </w:r>
      <w:r w:rsidR="00F21555" w:rsidRPr="00B95E38">
        <w:rPr>
          <w:rFonts w:asciiTheme="majorBidi" w:hAnsiTheme="majorBidi" w:cstheme="majorBidi"/>
        </w:rPr>
        <w:t>ure et sans soluté</w:t>
      </w:r>
      <w:r w:rsidRPr="00B95E38">
        <w:rPr>
          <w:rFonts w:asciiTheme="majorBidi" w:hAnsiTheme="majorBidi" w:cstheme="majorBidi"/>
        </w:rPr>
        <w:t>).</w:t>
      </w:r>
    </w:p>
    <w:p w:rsidR="00F67BF9" w:rsidRPr="00B95E38" w:rsidRDefault="00F67BF9" w:rsidP="00B95E38">
      <w:pPr>
        <w:tabs>
          <w:tab w:val="left" w:pos="142"/>
        </w:tabs>
        <w:autoSpaceDE w:val="0"/>
        <w:autoSpaceDN w:val="0"/>
        <w:adjustRightInd w:val="0"/>
        <w:spacing w:after="0"/>
        <w:rPr>
          <w:rFonts w:asciiTheme="majorBidi" w:hAnsiTheme="majorBidi" w:cstheme="majorBidi"/>
          <w:sz w:val="24"/>
          <w:szCs w:val="24"/>
        </w:rPr>
      </w:pPr>
      <w:r w:rsidRPr="00B95E38">
        <w:rPr>
          <w:rFonts w:asciiTheme="majorBidi" w:hAnsiTheme="majorBidi" w:cstheme="majorBidi"/>
          <w:sz w:val="24"/>
          <w:szCs w:val="24"/>
        </w:rPr>
        <w:t xml:space="preserve">La disponibilité de l’eau mesurée par l’activité de l’eau </w:t>
      </w:r>
      <w:proofErr w:type="spellStart"/>
      <w:r w:rsidRPr="00B95E38">
        <w:rPr>
          <w:rFonts w:asciiTheme="majorBidi" w:hAnsiTheme="majorBidi" w:cstheme="majorBidi"/>
          <w:sz w:val="24"/>
          <w:szCs w:val="24"/>
        </w:rPr>
        <w:t>aw</w:t>
      </w:r>
      <w:proofErr w:type="spellEnd"/>
      <w:r w:rsidRPr="00B95E38">
        <w:rPr>
          <w:rFonts w:asciiTheme="majorBidi" w:hAnsiTheme="majorBidi" w:cstheme="majorBidi"/>
          <w:sz w:val="24"/>
          <w:szCs w:val="24"/>
        </w:rPr>
        <w:t xml:space="preserve"> est un critère largement utilisé en agroalimentaire. Cette activité de l’eau mesure de façon globale la force de liaison entre l’eau et l’aliment.</w:t>
      </w:r>
    </w:p>
    <w:p w:rsidR="000D7E50" w:rsidRPr="00B95E38" w:rsidRDefault="000D7E5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w:t>
      </w:r>
      <w:r w:rsidR="00F21555" w:rsidRPr="00B95E38">
        <w:rPr>
          <w:rFonts w:asciiTheme="majorBidi" w:hAnsiTheme="majorBidi" w:cstheme="majorBidi"/>
        </w:rPr>
        <w:t>ctivité de l’eau (</w:t>
      </w:r>
      <w:proofErr w:type="spellStart"/>
      <w:r w:rsidR="00F21555" w:rsidRPr="00B95E38">
        <w:rPr>
          <w:rFonts w:asciiTheme="majorBidi" w:hAnsiTheme="majorBidi" w:cstheme="majorBidi"/>
        </w:rPr>
        <w:t>a</w:t>
      </w:r>
      <w:r w:rsidRPr="00B95E38">
        <w:rPr>
          <w:rFonts w:asciiTheme="majorBidi" w:hAnsiTheme="majorBidi" w:cstheme="majorBidi"/>
        </w:rPr>
        <w:t>w</w:t>
      </w:r>
      <w:proofErr w:type="spellEnd"/>
      <w:r w:rsidR="00F21555" w:rsidRPr="00B95E38">
        <w:rPr>
          <w:rFonts w:asciiTheme="majorBidi" w:hAnsiTheme="majorBidi" w:cstheme="majorBidi"/>
        </w:rPr>
        <w:t>)</w:t>
      </w:r>
      <w:r w:rsidRPr="00B95E38">
        <w:rPr>
          <w:rFonts w:asciiTheme="majorBidi" w:hAnsiTheme="majorBidi" w:cstheme="majorBidi"/>
        </w:rPr>
        <w:t xml:space="preserve"> d'une solution peut être </w:t>
      </w:r>
      <w:r w:rsidR="00F21555" w:rsidRPr="00B95E38">
        <w:rPr>
          <w:rFonts w:asciiTheme="majorBidi" w:hAnsiTheme="majorBidi" w:cstheme="majorBidi"/>
        </w:rPr>
        <w:t>calculée</w:t>
      </w:r>
      <w:r w:rsidRPr="00B95E38">
        <w:rPr>
          <w:rFonts w:asciiTheme="majorBidi" w:hAnsiTheme="majorBidi" w:cstheme="majorBidi"/>
        </w:rPr>
        <w:t xml:space="preserve"> par la formule de R</w:t>
      </w:r>
      <w:r w:rsidR="00F67BF9" w:rsidRPr="00B95E38">
        <w:rPr>
          <w:rFonts w:asciiTheme="majorBidi" w:hAnsiTheme="majorBidi" w:cstheme="majorBidi"/>
        </w:rPr>
        <w:t>aoult</w:t>
      </w:r>
      <w:r w:rsidRPr="00B95E38">
        <w:rPr>
          <w:rFonts w:asciiTheme="majorBidi" w:hAnsiTheme="majorBidi" w:cstheme="majorBidi"/>
        </w:rPr>
        <w:t> :</w:t>
      </w:r>
    </w:p>
    <w:p w:rsidR="000D7E50" w:rsidRPr="00B95E38" w:rsidRDefault="000D7E50" w:rsidP="00B95E38">
      <w:pPr>
        <w:pStyle w:val="NormalWeb"/>
        <w:shd w:val="clear" w:color="auto" w:fill="FCFCFC"/>
        <w:tabs>
          <w:tab w:val="left" w:pos="142"/>
        </w:tabs>
        <w:spacing w:before="0" w:beforeAutospacing="0" w:after="178" w:afterAutospacing="0" w:line="276" w:lineRule="auto"/>
        <w:jc w:val="center"/>
        <w:rPr>
          <w:rFonts w:asciiTheme="majorBidi" w:hAnsiTheme="majorBidi" w:cstheme="majorBidi"/>
        </w:rPr>
      </w:pPr>
      <w:proofErr w:type="spellStart"/>
      <w:r w:rsidRPr="00B95E38">
        <w:rPr>
          <w:rFonts w:asciiTheme="majorBidi" w:hAnsiTheme="majorBidi" w:cstheme="majorBidi"/>
        </w:rPr>
        <w:t>aw</w:t>
      </w:r>
      <w:proofErr w:type="spellEnd"/>
      <w:r w:rsidRPr="00B95E38">
        <w:rPr>
          <w:rFonts w:asciiTheme="majorBidi" w:hAnsiTheme="majorBidi" w:cstheme="majorBidi"/>
        </w:rPr>
        <w:t> = n</w:t>
      </w:r>
      <w:r w:rsidRPr="00B95E38">
        <w:rPr>
          <w:rFonts w:asciiTheme="majorBidi" w:hAnsiTheme="majorBidi" w:cstheme="majorBidi"/>
          <w:vertAlign w:val="subscript"/>
        </w:rPr>
        <w:t>1</w:t>
      </w:r>
      <w:r w:rsidRPr="00B95E38">
        <w:rPr>
          <w:rFonts w:asciiTheme="majorBidi" w:hAnsiTheme="majorBidi" w:cstheme="majorBidi"/>
        </w:rPr>
        <w:t>/</w:t>
      </w:r>
      <w:r w:rsidR="00F21555" w:rsidRPr="00B95E38">
        <w:rPr>
          <w:rFonts w:asciiTheme="majorBidi" w:hAnsiTheme="majorBidi" w:cstheme="majorBidi"/>
        </w:rPr>
        <w:t xml:space="preserve"> </w:t>
      </w:r>
      <w:r w:rsidRPr="00B95E38">
        <w:rPr>
          <w:rFonts w:asciiTheme="majorBidi" w:hAnsiTheme="majorBidi" w:cstheme="majorBidi"/>
        </w:rPr>
        <w:t>(n</w:t>
      </w:r>
      <w:r w:rsidRPr="00B95E38">
        <w:rPr>
          <w:rFonts w:asciiTheme="majorBidi" w:hAnsiTheme="majorBidi" w:cstheme="majorBidi"/>
          <w:vertAlign w:val="subscript"/>
        </w:rPr>
        <w:t>1</w:t>
      </w:r>
      <w:r w:rsidRPr="00B95E38">
        <w:rPr>
          <w:rFonts w:asciiTheme="majorBidi" w:hAnsiTheme="majorBidi" w:cstheme="majorBidi"/>
        </w:rPr>
        <w:t> + n</w:t>
      </w:r>
      <w:r w:rsidRPr="00B95E38">
        <w:rPr>
          <w:rFonts w:asciiTheme="majorBidi" w:hAnsiTheme="majorBidi" w:cstheme="majorBidi"/>
          <w:vertAlign w:val="subscript"/>
        </w:rPr>
        <w:t>2</w:t>
      </w:r>
      <w:r w:rsidRPr="00B95E38">
        <w:rPr>
          <w:rFonts w:asciiTheme="majorBidi" w:hAnsiTheme="majorBidi" w:cstheme="majorBidi"/>
        </w:rPr>
        <w:t>)</w:t>
      </w:r>
    </w:p>
    <w:p w:rsidR="000D7E50" w:rsidRPr="00B95E38" w:rsidRDefault="000D7E50" w:rsidP="00B95E38">
      <w:pPr>
        <w:pStyle w:val="NormalWeb"/>
        <w:shd w:val="clear" w:color="auto" w:fill="FCFCFC"/>
        <w:tabs>
          <w:tab w:val="left" w:pos="142"/>
        </w:tabs>
        <w:spacing w:before="0" w:beforeAutospacing="0" w:after="178" w:afterAutospacing="0" w:line="276" w:lineRule="auto"/>
        <w:rPr>
          <w:rFonts w:asciiTheme="majorBidi" w:hAnsiTheme="majorBidi" w:cstheme="majorBidi"/>
        </w:rPr>
      </w:pPr>
      <w:r w:rsidRPr="00B95E38">
        <w:rPr>
          <w:rFonts w:asciiTheme="majorBidi" w:hAnsiTheme="majorBidi" w:cstheme="majorBidi"/>
        </w:rPr>
        <w:t>n</w:t>
      </w:r>
      <w:r w:rsidRPr="00B95E38">
        <w:rPr>
          <w:rFonts w:asciiTheme="majorBidi" w:hAnsiTheme="majorBidi" w:cstheme="majorBidi"/>
          <w:vertAlign w:val="subscript"/>
        </w:rPr>
        <w:t>1</w:t>
      </w:r>
      <w:r w:rsidRPr="00B95E38">
        <w:rPr>
          <w:rFonts w:asciiTheme="majorBidi" w:hAnsiTheme="majorBidi" w:cstheme="majorBidi"/>
        </w:rPr>
        <w:t> = nombre de moles du solvant (eau).</w:t>
      </w:r>
      <w:r w:rsidRPr="00B95E38">
        <w:rPr>
          <w:rFonts w:asciiTheme="majorBidi" w:hAnsiTheme="majorBidi" w:cstheme="majorBidi"/>
        </w:rPr>
        <w:br/>
        <w:t>n</w:t>
      </w:r>
      <w:r w:rsidRPr="00B95E38">
        <w:rPr>
          <w:rFonts w:asciiTheme="majorBidi" w:hAnsiTheme="majorBidi" w:cstheme="majorBidi"/>
          <w:vertAlign w:val="subscript"/>
        </w:rPr>
        <w:t>2</w:t>
      </w:r>
      <w:r w:rsidRPr="00B95E38">
        <w:rPr>
          <w:rFonts w:asciiTheme="majorBidi" w:hAnsiTheme="majorBidi" w:cstheme="majorBidi"/>
        </w:rPr>
        <w:t> = nombre de moles du soluté.</w:t>
      </w:r>
    </w:p>
    <w:p w:rsidR="00181BF3" w:rsidRPr="00B95E38" w:rsidRDefault="000D7E50"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 xml:space="preserve">Le tableau ci-dessous donne la valeur de </w:t>
      </w:r>
      <w:proofErr w:type="gramStart"/>
      <w:r w:rsidRPr="00B95E38">
        <w:rPr>
          <w:rFonts w:asciiTheme="majorBidi" w:hAnsiTheme="majorBidi" w:cstheme="majorBidi"/>
        </w:rPr>
        <w:t xml:space="preserve">l' </w:t>
      </w:r>
      <w:proofErr w:type="spellStart"/>
      <w:r w:rsidRPr="00B95E38">
        <w:rPr>
          <w:rFonts w:asciiTheme="majorBidi" w:hAnsiTheme="majorBidi" w:cstheme="majorBidi"/>
        </w:rPr>
        <w:t>aw</w:t>
      </w:r>
      <w:proofErr w:type="spellEnd"/>
      <w:proofErr w:type="gramEnd"/>
      <w:r w:rsidRPr="00B95E38">
        <w:rPr>
          <w:rFonts w:asciiTheme="majorBidi" w:hAnsiTheme="majorBidi" w:cstheme="majorBidi"/>
        </w:rPr>
        <w:t xml:space="preserve"> de solutions de différentes concentrations de </w:t>
      </w:r>
      <w:proofErr w:type="spellStart"/>
      <w:r w:rsidRPr="00B95E38">
        <w:rPr>
          <w:rFonts w:asciiTheme="majorBidi" w:hAnsiTheme="majorBidi" w:cstheme="majorBidi"/>
        </w:rPr>
        <w:t>NaCl</w:t>
      </w:r>
      <w:proofErr w:type="spellEnd"/>
      <w:r w:rsidRPr="00B95E38">
        <w:rPr>
          <w:rFonts w:asciiTheme="majorBidi" w:hAnsiTheme="majorBidi" w:cstheme="majorBidi"/>
        </w:rPr>
        <w:t xml:space="preserve"> et de saccharose, mesurée à 25 °C.</w:t>
      </w:r>
    </w:p>
    <w:p w:rsidR="00513228" w:rsidRPr="00B95E38" w:rsidRDefault="0009454D"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L’activité</w:t>
      </w:r>
      <w:r w:rsidR="00181BF3" w:rsidRPr="00B95E38">
        <w:rPr>
          <w:rFonts w:asciiTheme="majorBidi" w:hAnsiTheme="majorBidi" w:cstheme="majorBidi"/>
        </w:rPr>
        <w:t xml:space="preserve"> de l'eau est mesurée sur de petits échantillons enfermés hermétiquement dans un compartiment de mesure muni d'un élément sensible d'humidité.</w:t>
      </w:r>
    </w:p>
    <w:p w:rsidR="00491EE2" w:rsidRPr="00B95E38" w:rsidRDefault="00513228"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 xml:space="preserve"> </w:t>
      </w:r>
      <w:r w:rsidR="00491EE2" w:rsidRPr="00B95E38">
        <w:rPr>
          <w:rFonts w:asciiTheme="majorBidi" w:hAnsiTheme="majorBidi" w:cstheme="majorBidi"/>
          <w:b/>
          <w:bCs/>
        </w:rPr>
        <w:t>Tableau 02 :</w:t>
      </w:r>
      <w:r w:rsidR="00491EE2" w:rsidRPr="00B95E38">
        <w:rPr>
          <w:rFonts w:asciiTheme="majorBidi" w:hAnsiTheme="majorBidi" w:cstheme="majorBidi"/>
        </w:rPr>
        <w:t xml:space="preserve"> l’</w:t>
      </w:r>
      <w:proofErr w:type="spellStart"/>
      <w:r w:rsidR="00491EE2" w:rsidRPr="00B95E38">
        <w:rPr>
          <w:rFonts w:asciiTheme="majorBidi" w:hAnsiTheme="majorBidi" w:cstheme="majorBidi"/>
        </w:rPr>
        <w:t>Aw</w:t>
      </w:r>
      <w:proofErr w:type="spellEnd"/>
      <w:r w:rsidR="00491EE2" w:rsidRPr="00B95E38">
        <w:rPr>
          <w:rFonts w:asciiTheme="majorBidi" w:hAnsiTheme="majorBidi" w:cstheme="majorBidi"/>
        </w:rPr>
        <w:t> de so</w:t>
      </w:r>
      <w:r w:rsidR="004B7E9A" w:rsidRPr="00B95E38">
        <w:rPr>
          <w:rFonts w:asciiTheme="majorBidi" w:hAnsiTheme="majorBidi" w:cstheme="majorBidi"/>
        </w:rPr>
        <w:t xml:space="preserve">lution de </w:t>
      </w:r>
      <w:proofErr w:type="spellStart"/>
      <w:r w:rsidR="004B7E9A" w:rsidRPr="00B95E38">
        <w:rPr>
          <w:rFonts w:asciiTheme="majorBidi" w:hAnsiTheme="majorBidi" w:cstheme="majorBidi"/>
        </w:rPr>
        <w:t>NaCl</w:t>
      </w:r>
      <w:proofErr w:type="spellEnd"/>
      <w:r w:rsidR="004B7E9A" w:rsidRPr="00B95E38">
        <w:rPr>
          <w:rFonts w:asciiTheme="majorBidi" w:hAnsiTheme="majorBidi" w:cstheme="majorBidi"/>
        </w:rPr>
        <w:t xml:space="preserve"> et de saccharose.</w:t>
      </w:r>
    </w:p>
    <w:tbl>
      <w:tblPr>
        <w:tblStyle w:val="Grilledutableau"/>
        <w:tblW w:w="0" w:type="auto"/>
        <w:tblLook w:val="04A0"/>
      </w:tblPr>
      <w:tblGrid>
        <w:gridCol w:w="3133"/>
        <w:gridCol w:w="3178"/>
        <w:gridCol w:w="2977"/>
      </w:tblGrid>
      <w:tr w:rsidR="00C24632" w:rsidRPr="00B95E38" w:rsidTr="00C24632">
        <w:tc>
          <w:tcPr>
            <w:tcW w:w="3133" w:type="dxa"/>
          </w:tcPr>
          <w:p w:rsidR="00C24632" w:rsidRPr="00B95E38" w:rsidRDefault="00C24632" w:rsidP="00B95E38">
            <w:pPr>
              <w:pStyle w:val="NormalWeb"/>
              <w:tabs>
                <w:tab w:val="left" w:pos="142"/>
              </w:tabs>
              <w:spacing w:before="0" w:beforeAutospacing="0" w:after="178" w:afterAutospacing="0" w:line="276" w:lineRule="auto"/>
              <w:jc w:val="both"/>
              <w:rPr>
                <w:rFonts w:asciiTheme="majorBidi" w:hAnsiTheme="majorBidi" w:cstheme="majorBidi"/>
              </w:rPr>
            </w:pPr>
            <w:proofErr w:type="spellStart"/>
            <w:r w:rsidRPr="00B95E38">
              <w:rPr>
                <w:rFonts w:asciiTheme="majorBidi" w:hAnsiTheme="majorBidi" w:cstheme="majorBidi"/>
              </w:rPr>
              <w:t>aw</w:t>
            </w:r>
            <w:proofErr w:type="spellEnd"/>
            <w:r w:rsidRPr="00B95E38">
              <w:rPr>
                <w:rFonts w:asciiTheme="majorBidi" w:hAnsiTheme="majorBidi" w:cstheme="majorBidi"/>
              </w:rPr>
              <w:t>  à 25°C</w:t>
            </w:r>
          </w:p>
        </w:tc>
        <w:tc>
          <w:tcPr>
            <w:tcW w:w="3178" w:type="dxa"/>
          </w:tcPr>
          <w:p w:rsidR="00C24632" w:rsidRPr="00B95E38" w:rsidRDefault="00C24632" w:rsidP="00B95E38">
            <w:pPr>
              <w:pStyle w:val="NormalWeb"/>
              <w:tabs>
                <w:tab w:val="left" w:pos="142"/>
              </w:tabs>
              <w:spacing w:before="0" w:beforeAutospacing="0" w:after="178" w:afterAutospacing="0" w:line="276" w:lineRule="auto"/>
              <w:jc w:val="both"/>
              <w:rPr>
                <w:rFonts w:asciiTheme="majorBidi" w:hAnsiTheme="majorBidi" w:cstheme="majorBidi"/>
              </w:rPr>
            </w:pPr>
            <w:proofErr w:type="spellStart"/>
            <w:r w:rsidRPr="00B95E38">
              <w:rPr>
                <w:rFonts w:asciiTheme="majorBidi" w:hAnsiTheme="majorBidi" w:cstheme="majorBidi"/>
              </w:rPr>
              <w:t>NaCl</w:t>
            </w:r>
            <w:proofErr w:type="spellEnd"/>
            <w:r w:rsidRPr="00B95E38">
              <w:rPr>
                <w:rFonts w:asciiTheme="majorBidi" w:hAnsiTheme="majorBidi" w:cstheme="majorBidi"/>
              </w:rPr>
              <w:t xml:space="preserve"> g/100 g d'eau</w:t>
            </w:r>
          </w:p>
        </w:tc>
        <w:tc>
          <w:tcPr>
            <w:tcW w:w="2977" w:type="dxa"/>
          </w:tcPr>
          <w:p w:rsidR="00C24632" w:rsidRPr="00B95E38" w:rsidRDefault="00C24632" w:rsidP="00B95E38">
            <w:pPr>
              <w:pStyle w:val="NormalWeb"/>
              <w:tabs>
                <w:tab w:val="left" w:pos="142"/>
              </w:tabs>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saccharose</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0,99</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1,75</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11</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0,96</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7,01</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25</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0,94</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10,34</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93</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0,92</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13,5</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120</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0,90</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16,5</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144</w:t>
            </w:r>
          </w:p>
        </w:tc>
      </w:tr>
      <w:tr w:rsidR="00C24632" w:rsidRPr="00B95E38" w:rsidTr="007E1529">
        <w:tc>
          <w:tcPr>
            <w:tcW w:w="3133"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0,85</w:t>
            </w:r>
          </w:p>
        </w:tc>
        <w:tc>
          <w:tcPr>
            <w:tcW w:w="3178"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23,6</w:t>
            </w:r>
          </w:p>
        </w:tc>
        <w:tc>
          <w:tcPr>
            <w:tcW w:w="2977" w:type="dxa"/>
            <w:vAlign w:val="center"/>
          </w:tcPr>
          <w:p w:rsidR="00C24632" w:rsidRPr="00B95E38" w:rsidRDefault="00C24632" w:rsidP="00B95E38">
            <w:pPr>
              <w:spacing w:after="356" w:line="276" w:lineRule="auto"/>
              <w:rPr>
                <w:rFonts w:asciiTheme="majorBidi" w:hAnsiTheme="majorBidi" w:cstheme="majorBidi"/>
                <w:sz w:val="24"/>
                <w:szCs w:val="24"/>
              </w:rPr>
            </w:pPr>
            <w:r w:rsidRPr="00B95E38">
              <w:rPr>
                <w:rFonts w:asciiTheme="majorBidi" w:hAnsiTheme="majorBidi" w:cstheme="majorBidi"/>
                <w:sz w:val="24"/>
                <w:szCs w:val="24"/>
              </w:rPr>
              <w:t>208</w:t>
            </w:r>
          </w:p>
        </w:tc>
      </w:tr>
    </w:tbl>
    <w:p w:rsidR="00C24632" w:rsidRPr="00B95E38" w:rsidRDefault="00C24632" w:rsidP="00B95E38">
      <w:pPr>
        <w:pStyle w:val="NormalWeb"/>
        <w:shd w:val="clear" w:color="auto" w:fill="FCFCFC"/>
        <w:tabs>
          <w:tab w:val="left" w:pos="142"/>
        </w:tabs>
        <w:spacing w:before="0" w:beforeAutospacing="0" w:after="178" w:afterAutospacing="0" w:line="276" w:lineRule="auto"/>
        <w:jc w:val="both"/>
        <w:rPr>
          <w:rFonts w:asciiTheme="majorBidi" w:hAnsiTheme="majorBidi" w:cstheme="majorBidi"/>
        </w:rPr>
      </w:pP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L'activité de l'eau d'un aliment dépend de la température. Un changement de 10°C peut causer un changement dans l'</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xml:space="preserve"> de 0,03 à 0,2 dépendant du type du produit.  Ainsi, la modification </w:t>
      </w:r>
      <w:r w:rsidRPr="00B95E38">
        <w:rPr>
          <w:rFonts w:asciiTheme="majorBidi" w:hAnsiTheme="majorBidi" w:cstheme="majorBidi"/>
        </w:rPr>
        <w:lastRenderedPageBreak/>
        <w:t>de la température peut avoir un effet sur la stabilité d'un produit et joue un rôle important dans la conservation des produits dans un emballage hermétique.</w:t>
      </w:r>
    </w:p>
    <w:p w:rsidR="00740189" w:rsidRPr="00B95E38" w:rsidRDefault="00324436" w:rsidP="00B95E38">
      <w:pPr>
        <w:pStyle w:val="Titre3"/>
        <w:numPr>
          <w:ilvl w:val="1"/>
          <w:numId w:val="5"/>
        </w:numPr>
        <w:shd w:val="clear" w:color="auto" w:fill="FCFCFC"/>
        <w:spacing w:before="356" w:after="178"/>
        <w:jc w:val="both"/>
        <w:rPr>
          <w:rFonts w:asciiTheme="majorBidi" w:hAnsiTheme="majorBidi"/>
          <w:color w:val="auto"/>
          <w:sz w:val="24"/>
          <w:szCs w:val="24"/>
        </w:rPr>
      </w:pPr>
      <w:r>
        <w:rPr>
          <w:rFonts w:asciiTheme="majorBidi" w:hAnsiTheme="majorBidi"/>
          <w:color w:val="auto"/>
          <w:sz w:val="24"/>
          <w:szCs w:val="24"/>
        </w:rPr>
        <w:t xml:space="preserve"> </w:t>
      </w:r>
      <w:r w:rsidR="00740189" w:rsidRPr="00B95E38">
        <w:rPr>
          <w:rFonts w:asciiTheme="majorBidi" w:hAnsiTheme="majorBidi"/>
          <w:color w:val="auto"/>
          <w:sz w:val="24"/>
          <w:szCs w:val="24"/>
        </w:rPr>
        <w:t>Relation entre la teneur en eau et l'activité de l'eau</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A l'équilibre, la relation entre la teneur en eau et l’activité  de l’eau (</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d'un produit alimentaire à une température constante peut être représentée par une courbe appelée </w:t>
      </w:r>
      <w:r w:rsidRPr="00B95E38">
        <w:rPr>
          <w:rStyle w:val="lev"/>
          <w:rFonts w:asciiTheme="majorBidi" w:eastAsiaTheme="majorEastAsia" w:hAnsiTheme="majorBidi" w:cstheme="majorBidi"/>
        </w:rPr>
        <w:t>isotherme de sorption</w:t>
      </w:r>
      <w:r w:rsidRPr="00B95E38">
        <w:rPr>
          <w:rFonts w:asciiTheme="majorBidi" w:hAnsiTheme="majorBidi" w:cstheme="majorBidi"/>
        </w:rPr>
        <w:t xml:space="preserve">. Pour chaque valeur </w:t>
      </w:r>
      <w:proofErr w:type="gramStart"/>
      <w:r w:rsidRPr="00B95E38">
        <w:rPr>
          <w:rFonts w:asciiTheme="majorBidi" w:hAnsiTheme="majorBidi" w:cstheme="majorBidi"/>
        </w:rPr>
        <w:t xml:space="preserve">de </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proofErr w:type="gramEnd"/>
      <w:r w:rsidRPr="00B95E38">
        <w:rPr>
          <w:rFonts w:asciiTheme="majorBidi" w:hAnsiTheme="majorBidi" w:cstheme="majorBidi"/>
        </w:rPr>
        <w:t>, l'isotherme donne la teneur en eau (</w:t>
      </w:r>
      <w:proofErr w:type="spellStart"/>
      <w:r w:rsidRPr="00B95E38">
        <w:rPr>
          <w:rFonts w:asciiTheme="majorBidi" w:hAnsiTheme="majorBidi" w:cstheme="majorBidi"/>
        </w:rPr>
        <w:t>X</w:t>
      </w:r>
      <w:r w:rsidRPr="00B95E38">
        <w:rPr>
          <w:rFonts w:asciiTheme="majorBidi" w:hAnsiTheme="majorBidi" w:cstheme="majorBidi"/>
          <w:vertAlign w:val="subscript"/>
        </w:rPr>
        <w:t>eq</w:t>
      </w:r>
      <w:proofErr w:type="spellEnd"/>
      <w:r w:rsidRPr="00B95E38">
        <w:rPr>
          <w:rFonts w:asciiTheme="majorBidi" w:hAnsiTheme="majorBidi" w:cstheme="majorBidi"/>
        </w:rPr>
        <w:t>) du produit à une température donnée.</w:t>
      </w:r>
    </w:p>
    <w:p w:rsidR="00740189" w:rsidRPr="00B95E38" w:rsidRDefault="00B95E38" w:rsidP="00B95E38">
      <w:pPr>
        <w:pStyle w:val="NormalWeb"/>
        <w:shd w:val="clear" w:color="auto" w:fill="FCFCFC"/>
        <w:spacing w:before="0" w:beforeAutospacing="0" w:after="178" w:afterAutospacing="0" w:line="276" w:lineRule="auto"/>
        <w:rPr>
          <w:rFonts w:asciiTheme="majorBidi" w:hAnsiTheme="majorBidi" w:cstheme="majorBidi"/>
        </w:rPr>
      </w:pPr>
      <w:r>
        <w:rPr>
          <w:rFonts w:asciiTheme="majorBidi" w:hAnsiTheme="majorBidi" w:cstheme="majorBidi"/>
          <w:noProof/>
        </w:rPr>
        <w:drawing>
          <wp:anchor distT="0" distB="0" distL="114300" distR="114300" simplePos="0" relativeHeight="251658240" behindDoc="0" locked="0" layoutInCell="1" allowOverlap="1">
            <wp:simplePos x="0" y="0"/>
            <wp:positionH relativeFrom="column">
              <wp:posOffset>919480</wp:posOffset>
            </wp:positionH>
            <wp:positionV relativeFrom="paragraph">
              <wp:posOffset>22860</wp:posOffset>
            </wp:positionV>
            <wp:extent cx="3477260" cy="1800225"/>
            <wp:effectExtent l="19050" t="0" r="8890" b="0"/>
            <wp:wrapSquare wrapText="bothSides"/>
            <wp:docPr id="3" name="Image 3" descr="Isotherme de sor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therme de sorption"/>
                    <pic:cNvPicPr>
                      <a:picLocks noChangeAspect="1" noChangeArrowheads="1"/>
                    </pic:cNvPicPr>
                  </pic:nvPicPr>
                  <pic:blipFill>
                    <a:blip r:embed="rId6"/>
                    <a:srcRect b="7805"/>
                    <a:stretch>
                      <a:fillRect/>
                    </a:stretch>
                  </pic:blipFill>
                  <pic:spPr bwMode="auto">
                    <a:xfrm>
                      <a:off x="0" y="0"/>
                      <a:ext cx="3477260" cy="1800225"/>
                    </a:xfrm>
                    <a:prstGeom prst="rect">
                      <a:avLst/>
                    </a:prstGeom>
                    <a:noFill/>
                    <a:ln w="9525">
                      <a:noFill/>
                      <a:miter lim="800000"/>
                      <a:headEnd/>
                      <a:tailEnd/>
                    </a:ln>
                  </pic:spPr>
                </pic:pic>
              </a:graphicData>
            </a:graphic>
          </wp:anchor>
        </w:drawing>
      </w:r>
      <w:r>
        <w:rPr>
          <w:rFonts w:asciiTheme="majorBidi" w:hAnsiTheme="majorBidi" w:cstheme="majorBidi"/>
        </w:rPr>
        <w:br w:type="textWrapping" w:clear="all"/>
      </w:r>
    </w:p>
    <w:p w:rsidR="00B95E38" w:rsidRPr="00B95E38" w:rsidRDefault="00B95E38" w:rsidP="00B95E38">
      <w:pPr>
        <w:pStyle w:val="NormalWeb"/>
        <w:shd w:val="clear" w:color="auto" w:fill="FCFCFC"/>
        <w:spacing w:before="0" w:beforeAutospacing="0" w:after="178" w:afterAutospacing="0" w:line="276" w:lineRule="auto"/>
        <w:jc w:val="center"/>
        <w:rPr>
          <w:rFonts w:asciiTheme="majorBidi" w:hAnsiTheme="majorBidi" w:cstheme="majorBidi"/>
        </w:rPr>
      </w:pPr>
      <w:r w:rsidRPr="00B95E38">
        <w:rPr>
          <w:rFonts w:asciiTheme="majorBidi" w:hAnsiTheme="majorBidi" w:cstheme="majorBidi"/>
          <w:b/>
          <w:bCs/>
        </w:rPr>
        <w:t>Figure 01 :</w:t>
      </w:r>
      <w:r>
        <w:rPr>
          <w:rFonts w:asciiTheme="majorBidi" w:hAnsiTheme="majorBidi" w:cstheme="majorBidi"/>
        </w:rPr>
        <w:t xml:space="preserve"> i</w:t>
      </w:r>
      <w:r w:rsidRPr="00B95E38">
        <w:rPr>
          <w:rFonts w:asciiTheme="majorBidi" w:hAnsiTheme="majorBidi" w:cstheme="majorBidi"/>
        </w:rPr>
        <w:t>sotherme de sorption</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 xml:space="preserve">Les isothermes de sorption sont </w:t>
      </w:r>
      <w:proofErr w:type="gramStart"/>
      <w:r w:rsidRPr="00B95E38">
        <w:rPr>
          <w:rFonts w:asciiTheme="majorBidi" w:hAnsiTheme="majorBidi" w:cstheme="majorBidi"/>
        </w:rPr>
        <w:t>divisés</w:t>
      </w:r>
      <w:proofErr w:type="gramEnd"/>
      <w:r w:rsidRPr="00B95E38">
        <w:rPr>
          <w:rFonts w:asciiTheme="majorBidi" w:hAnsiTheme="majorBidi" w:cstheme="majorBidi"/>
        </w:rPr>
        <w:t xml:space="preserve"> en trois zones :</w:t>
      </w:r>
    </w:p>
    <w:p w:rsidR="00740189" w:rsidRPr="00B95E38" w:rsidRDefault="00740189" w:rsidP="00B95E38">
      <w:pPr>
        <w:numPr>
          <w:ilvl w:val="0"/>
          <w:numId w:val="9"/>
        </w:numPr>
        <w:shd w:val="clear" w:color="auto" w:fill="FCFCFC"/>
        <w:spacing w:before="100" w:beforeAutospacing="1" w:after="100" w:afterAutospacing="1"/>
        <w:jc w:val="both"/>
        <w:rPr>
          <w:rFonts w:asciiTheme="majorBidi" w:hAnsiTheme="majorBidi" w:cstheme="majorBidi"/>
          <w:sz w:val="24"/>
          <w:szCs w:val="24"/>
        </w:rPr>
      </w:pPr>
      <w:r w:rsidRPr="00B95E38">
        <w:rPr>
          <w:rFonts w:asciiTheme="majorBidi" w:hAnsiTheme="majorBidi" w:cstheme="majorBidi"/>
          <w:sz w:val="24"/>
          <w:szCs w:val="24"/>
        </w:rPr>
        <w:t>Zone 1 (</w:t>
      </w:r>
      <w:proofErr w:type="spellStart"/>
      <w:r w:rsidRPr="00B95E38">
        <w:rPr>
          <w:rFonts w:asciiTheme="majorBidi" w:hAnsiTheme="majorBidi" w:cstheme="majorBidi"/>
          <w:sz w:val="24"/>
          <w:szCs w:val="24"/>
        </w:rPr>
        <w:t>a</w:t>
      </w:r>
      <w:r w:rsidRPr="00B95E38">
        <w:rPr>
          <w:rFonts w:asciiTheme="majorBidi" w:hAnsiTheme="majorBidi" w:cstheme="majorBidi"/>
          <w:sz w:val="24"/>
          <w:szCs w:val="24"/>
          <w:vertAlign w:val="subscript"/>
        </w:rPr>
        <w:t>w</w:t>
      </w:r>
      <w:proofErr w:type="spellEnd"/>
      <w:r w:rsidRPr="00B95E38">
        <w:rPr>
          <w:rFonts w:asciiTheme="majorBidi" w:hAnsiTheme="majorBidi" w:cstheme="majorBidi"/>
          <w:sz w:val="24"/>
          <w:szCs w:val="24"/>
        </w:rPr>
        <w:t>&lt;0,3) : correspond à </w:t>
      </w:r>
      <w:r w:rsidRPr="00B95E38">
        <w:rPr>
          <w:rStyle w:val="Accentuation"/>
          <w:rFonts w:asciiTheme="majorBidi" w:hAnsiTheme="majorBidi" w:cstheme="majorBidi"/>
          <w:i w:val="0"/>
          <w:iCs w:val="0"/>
          <w:sz w:val="24"/>
          <w:szCs w:val="24"/>
        </w:rPr>
        <w:t>l'eau « fortement liée »</w:t>
      </w:r>
      <w:r w:rsidRPr="00B95E38">
        <w:rPr>
          <w:rFonts w:asciiTheme="majorBidi" w:hAnsiTheme="majorBidi" w:cstheme="majorBidi"/>
          <w:sz w:val="24"/>
          <w:szCs w:val="24"/>
        </w:rPr>
        <w:t>, dite aussi « de constitution ». L’eau est intimement liée aux composants biochimiques par des liaisons covalentes et ne peut être séparée que par des techniques très sévères. Cette eau n’est pratiquement pas disponible comme solvant ou réactif et correspond à la première couche (monocouche) qui entoure la matière sèche d'aliments.</w:t>
      </w:r>
    </w:p>
    <w:p w:rsidR="00740189" w:rsidRPr="00B95E38" w:rsidRDefault="00740189" w:rsidP="00B95E38">
      <w:pPr>
        <w:numPr>
          <w:ilvl w:val="0"/>
          <w:numId w:val="9"/>
        </w:numPr>
        <w:shd w:val="clear" w:color="auto" w:fill="FCFCFC"/>
        <w:spacing w:before="100" w:beforeAutospacing="1" w:after="100" w:afterAutospacing="1"/>
        <w:jc w:val="both"/>
        <w:rPr>
          <w:rFonts w:asciiTheme="majorBidi" w:hAnsiTheme="majorBidi" w:cstheme="majorBidi"/>
          <w:sz w:val="24"/>
          <w:szCs w:val="24"/>
        </w:rPr>
      </w:pPr>
      <w:r w:rsidRPr="00B95E38">
        <w:rPr>
          <w:rFonts w:asciiTheme="majorBidi" w:hAnsiTheme="majorBidi" w:cstheme="majorBidi"/>
          <w:sz w:val="24"/>
          <w:szCs w:val="24"/>
        </w:rPr>
        <w:t>Zone 2 (0,3&lt;</w:t>
      </w:r>
      <w:proofErr w:type="spellStart"/>
      <w:r w:rsidRPr="00B95E38">
        <w:rPr>
          <w:rFonts w:asciiTheme="majorBidi" w:hAnsiTheme="majorBidi" w:cstheme="majorBidi"/>
          <w:sz w:val="24"/>
          <w:szCs w:val="24"/>
        </w:rPr>
        <w:t>a</w:t>
      </w:r>
      <w:r w:rsidRPr="00B95E38">
        <w:rPr>
          <w:rFonts w:asciiTheme="majorBidi" w:hAnsiTheme="majorBidi" w:cstheme="majorBidi"/>
          <w:sz w:val="24"/>
          <w:szCs w:val="24"/>
          <w:vertAlign w:val="subscript"/>
        </w:rPr>
        <w:t>w</w:t>
      </w:r>
      <w:proofErr w:type="spellEnd"/>
      <w:r w:rsidRPr="00B95E38">
        <w:rPr>
          <w:rFonts w:asciiTheme="majorBidi" w:hAnsiTheme="majorBidi" w:cstheme="majorBidi"/>
          <w:sz w:val="24"/>
          <w:szCs w:val="24"/>
        </w:rPr>
        <w:t>&lt;0,7) : correspond à </w:t>
      </w:r>
      <w:r w:rsidRPr="00B95E38">
        <w:rPr>
          <w:rStyle w:val="Accentuation"/>
          <w:rFonts w:asciiTheme="majorBidi" w:hAnsiTheme="majorBidi" w:cstheme="majorBidi"/>
          <w:i w:val="0"/>
          <w:iCs w:val="0"/>
          <w:sz w:val="24"/>
          <w:szCs w:val="24"/>
        </w:rPr>
        <w:t>l'eau « faiblement liée»</w:t>
      </w:r>
      <w:r w:rsidRPr="00B95E38">
        <w:rPr>
          <w:rFonts w:asciiTheme="majorBidi" w:hAnsiTheme="majorBidi" w:cstheme="majorBidi"/>
          <w:sz w:val="24"/>
          <w:szCs w:val="24"/>
        </w:rPr>
        <w:t xml:space="preserve">, sous forme de couches </w:t>
      </w:r>
      <w:proofErr w:type="spellStart"/>
      <w:r w:rsidRPr="00B95E38">
        <w:rPr>
          <w:rFonts w:asciiTheme="majorBidi" w:hAnsiTheme="majorBidi" w:cstheme="majorBidi"/>
          <w:sz w:val="24"/>
          <w:szCs w:val="24"/>
        </w:rPr>
        <w:t>polymoléculaires</w:t>
      </w:r>
      <w:proofErr w:type="spellEnd"/>
      <w:r w:rsidRPr="00B95E38">
        <w:rPr>
          <w:rFonts w:asciiTheme="majorBidi" w:hAnsiTheme="majorBidi" w:cstheme="majorBidi"/>
          <w:sz w:val="24"/>
          <w:szCs w:val="24"/>
        </w:rPr>
        <w:t xml:space="preserve"> (multicouche) recouvrant partiellement la surface du substrat sec. Bien qu’elle soit aussi disponible tant comme solvant que réactif, elle est moyennement réactive.</w:t>
      </w:r>
    </w:p>
    <w:p w:rsidR="00B95E38" w:rsidRPr="00324436" w:rsidRDefault="00740189" w:rsidP="00B95E38">
      <w:pPr>
        <w:numPr>
          <w:ilvl w:val="0"/>
          <w:numId w:val="9"/>
        </w:numPr>
        <w:shd w:val="clear" w:color="auto" w:fill="FCFCFC"/>
        <w:spacing w:before="100" w:beforeAutospacing="1" w:after="100" w:afterAutospacing="1"/>
        <w:jc w:val="both"/>
        <w:rPr>
          <w:rFonts w:asciiTheme="majorBidi" w:hAnsiTheme="majorBidi" w:cstheme="majorBidi"/>
          <w:sz w:val="24"/>
          <w:szCs w:val="24"/>
        </w:rPr>
      </w:pPr>
      <w:r w:rsidRPr="00324436">
        <w:rPr>
          <w:rFonts w:asciiTheme="majorBidi" w:hAnsiTheme="majorBidi" w:cstheme="majorBidi"/>
          <w:sz w:val="24"/>
          <w:szCs w:val="24"/>
        </w:rPr>
        <w:t>Zone 3 (</w:t>
      </w:r>
      <w:proofErr w:type="spellStart"/>
      <w:r w:rsidRPr="00324436">
        <w:rPr>
          <w:rFonts w:asciiTheme="majorBidi" w:hAnsiTheme="majorBidi" w:cstheme="majorBidi"/>
          <w:sz w:val="24"/>
          <w:szCs w:val="24"/>
        </w:rPr>
        <w:t>a</w:t>
      </w:r>
      <w:r w:rsidRPr="00324436">
        <w:rPr>
          <w:rFonts w:asciiTheme="majorBidi" w:hAnsiTheme="majorBidi" w:cstheme="majorBidi"/>
          <w:sz w:val="24"/>
          <w:szCs w:val="24"/>
          <w:vertAlign w:val="subscript"/>
        </w:rPr>
        <w:t>w</w:t>
      </w:r>
      <w:proofErr w:type="spellEnd"/>
      <w:r w:rsidRPr="00324436">
        <w:rPr>
          <w:rFonts w:asciiTheme="majorBidi" w:hAnsiTheme="majorBidi" w:cstheme="majorBidi"/>
          <w:sz w:val="24"/>
          <w:szCs w:val="24"/>
        </w:rPr>
        <w:t>&gt;0,7) : correspond à</w:t>
      </w:r>
      <w:r w:rsidRPr="00324436">
        <w:rPr>
          <w:rStyle w:val="Accentuation"/>
          <w:rFonts w:asciiTheme="majorBidi" w:hAnsiTheme="majorBidi" w:cstheme="majorBidi"/>
          <w:i w:val="0"/>
          <w:iCs w:val="0"/>
          <w:sz w:val="24"/>
          <w:szCs w:val="24"/>
        </w:rPr>
        <w:t> l'eau « libre »</w:t>
      </w:r>
      <w:r w:rsidRPr="00324436">
        <w:rPr>
          <w:rFonts w:asciiTheme="majorBidi" w:hAnsiTheme="majorBidi" w:cstheme="majorBidi"/>
          <w:sz w:val="24"/>
          <w:szCs w:val="24"/>
        </w:rPr>
        <w:t> ou « eau liquide » qui n’est retenue à la surface du substrat sec que par des liaisons hydrogène. Cette eau est disponible tant comme solvant que réactif. C’est uniquement sous cette forme que l’eau est utilisée par les microorganismes et peut permettre les réactions enzymatiques.</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On distingue deux types </w:t>
      </w:r>
      <w:r w:rsidRPr="00B95E38">
        <w:rPr>
          <w:rStyle w:val="lev"/>
          <w:rFonts w:asciiTheme="majorBidi" w:eastAsiaTheme="majorEastAsia" w:hAnsiTheme="majorBidi" w:cstheme="majorBidi"/>
        </w:rPr>
        <w:t>d'isothermes de sorption</w:t>
      </w:r>
      <w:r w:rsidRPr="00B95E38">
        <w:rPr>
          <w:rFonts w:asciiTheme="majorBidi" w:hAnsiTheme="majorBidi" w:cstheme="majorBidi"/>
        </w:rPr>
        <w:t> :</w:t>
      </w:r>
    </w:p>
    <w:p w:rsidR="00740189" w:rsidRPr="00B95E38" w:rsidRDefault="00740189" w:rsidP="00B95E38">
      <w:pPr>
        <w:numPr>
          <w:ilvl w:val="0"/>
          <w:numId w:val="10"/>
        </w:numPr>
        <w:shd w:val="clear" w:color="auto" w:fill="FCFCFC"/>
        <w:spacing w:before="100" w:beforeAutospacing="1" w:after="100" w:afterAutospacing="1"/>
        <w:jc w:val="both"/>
        <w:rPr>
          <w:rFonts w:asciiTheme="majorBidi" w:hAnsiTheme="majorBidi" w:cstheme="majorBidi"/>
          <w:sz w:val="24"/>
          <w:szCs w:val="24"/>
        </w:rPr>
      </w:pPr>
      <w:r w:rsidRPr="00B95E38">
        <w:rPr>
          <w:rStyle w:val="lev"/>
          <w:rFonts w:asciiTheme="majorBidi" w:hAnsiTheme="majorBidi" w:cstheme="majorBidi"/>
          <w:sz w:val="24"/>
          <w:szCs w:val="24"/>
        </w:rPr>
        <w:t>Isotherme d’adsorption</w:t>
      </w:r>
      <w:r w:rsidRPr="00B95E38">
        <w:rPr>
          <w:rFonts w:asciiTheme="majorBidi" w:hAnsiTheme="majorBidi" w:cstheme="majorBidi"/>
          <w:sz w:val="24"/>
          <w:szCs w:val="24"/>
        </w:rPr>
        <w:t> si elle a été déterminée expérimentalement en partant d’un produit sec.</w:t>
      </w:r>
    </w:p>
    <w:p w:rsidR="00740189" w:rsidRPr="00B95E38" w:rsidRDefault="00740189" w:rsidP="00B95E38">
      <w:pPr>
        <w:numPr>
          <w:ilvl w:val="0"/>
          <w:numId w:val="10"/>
        </w:numPr>
        <w:shd w:val="clear" w:color="auto" w:fill="FCFCFC"/>
        <w:spacing w:before="100" w:beforeAutospacing="1" w:after="100" w:afterAutospacing="1"/>
        <w:jc w:val="both"/>
        <w:rPr>
          <w:rFonts w:asciiTheme="majorBidi" w:hAnsiTheme="majorBidi" w:cstheme="majorBidi"/>
          <w:sz w:val="24"/>
          <w:szCs w:val="24"/>
        </w:rPr>
      </w:pPr>
      <w:r w:rsidRPr="00B95E38">
        <w:rPr>
          <w:rStyle w:val="lev"/>
          <w:rFonts w:asciiTheme="majorBidi" w:hAnsiTheme="majorBidi" w:cstheme="majorBidi"/>
          <w:sz w:val="24"/>
          <w:szCs w:val="24"/>
        </w:rPr>
        <w:t>Isotherme de désorption</w:t>
      </w:r>
      <w:r w:rsidRPr="00B95E38">
        <w:rPr>
          <w:rFonts w:asciiTheme="majorBidi" w:hAnsiTheme="majorBidi" w:cstheme="majorBidi"/>
          <w:sz w:val="24"/>
          <w:szCs w:val="24"/>
        </w:rPr>
        <w:t> si elle a été déterminée expérimentalement en partant d’un produit saturé en eau.</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lastRenderedPageBreak/>
        <w:t>Les deux courbes sont en général différentes car le séchage d’un produit entraîne des modifications de structure et de porosité irréversibles.</w:t>
      </w:r>
    </w:p>
    <w:p w:rsidR="00740189" w:rsidRPr="00B95E38" w:rsidRDefault="00740189" w:rsidP="00B95E38">
      <w:pPr>
        <w:pStyle w:val="NormalWeb"/>
        <w:shd w:val="clear" w:color="auto" w:fill="FCFCFC"/>
        <w:spacing w:before="0" w:beforeAutospacing="0" w:after="178" w:afterAutospacing="0" w:line="276" w:lineRule="auto"/>
        <w:jc w:val="center"/>
        <w:rPr>
          <w:rFonts w:asciiTheme="majorBidi" w:hAnsiTheme="majorBidi" w:cstheme="majorBidi"/>
        </w:rPr>
      </w:pPr>
      <w:r w:rsidRPr="00B95E38">
        <w:rPr>
          <w:rFonts w:asciiTheme="majorBidi" w:hAnsiTheme="majorBidi" w:cstheme="majorBidi"/>
          <w:noProof/>
        </w:rPr>
        <w:drawing>
          <wp:inline distT="0" distB="0" distL="0" distR="0">
            <wp:extent cx="3733800" cy="1771650"/>
            <wp:effectExtent l="19050" t="0" r="0" b="0"/>
            <wp:docPr id="5" name="Image 5" descr="Isothermes d'adsorption et désor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thermes d'adsorption et désorption"/>
                    <pic:cNvPicPr>
                      <a:picLocks noChangeAspect="1" noChangeArrowheads="1"/>
                    </pic:cNvPicPr>
                  </pic:nvPicPr>
                  <pic:blipFill>
                    <a:blip r:embed="rId7"/>
                    <a:srcRect b="7000"/>
                    <a:stretch>
                      <a:fillRect/>
                    </a:stretch>
                  </pic:blipFill>
                  <pic:spPr bwMode="auto">
                    <a:xfrm>
                      <a:off x="0" y="0"/>
                      <a:ext cx="3733800" cy="1771650"/>
                    </a:xfrm>
                    <a:prstGeom prst="rect">
                      <a:avLst/>
                    </a:prstGeom>
                    <a:noFill/>
                    <a:ln w="9525">
                      <a:noFill/>
                      <a:miter lim="800000"/>
                      <a:headEnd/>
                      <a:tailEnd/>
                    </a:ln>
                  </pic:spPr>
                </pic:pic>
              </a:graphicData>
            </a:graphic>
          </wp:inline>
        </w:drawing>
      </w:r>
    </w:p>
    <w:p w:rsidR="00355B80" w:rsidRPr="00B95E38" w:rsidRDefault="00B95E38" w:rsidP="00B95E38">
      <w:pPr>
        <w:jc w:val="center"/>
        <w:rPr>
          <w:rFonts w:asciiTheme="majorBidi" w:hAnsiTheme="majorBidi" w:cstheme="majorBidi"/>
          <w:sz w:val="24"/>
          <w:szCs w:val="24"/>
        </w:rPr>
      </w:pPr>
      <w:r w:rsidRPr="00B95E38">
        <w:rPr>
          <w:rFonts w:asciiTheme="majorBidi" w:hAnsiTheme="majorBidi" w:cstheme="majorBidi"/>
          <w:b/>
          <w:bCs/>
          <w:sz w:val="24"/>
          <w:szCs w:val="24"/>
        </w:rPr>
        <w:t>Figure 0</w:t>
      </w:r>
      <w:r>
        <w:rPr>
          <w:rFonts w:asciiTheme="majorBidi" w:hAnsiTheme="majorBidi" w:cstheme="majorBidi"/>
          <w:b/>
          <w:bCs/>
          <w:sz w:val="24"/>
          <w:szCs w:val="24"/>
        </w:rPr>
        <w:t>2</w:t>
      </w:r>
      <w:r w:rsidRPr="00B95E38">
        <w:rPr>
          <w:rFonts w:asciiTheme="majorBidi" w:hAnsiTheme="majorBidi" w:cstheme="majorBidi"/>
          <w:b/>
          <w:bCs/>
          <w:sz w:val="24"/>
          <w:szCs w:val="24"/>
        </w:rPr>
        <w:t> :</w:t>
      </w:r>
      <w:r>
        <w:rPr>
          <w:rFonts w:asciiTheme="majorBidi" w:hAnsiTheme="majorBidi" w:cstheme="majorBidi"/>
          <w:b/>
          <w:bCs/>
          <w:sz w:val="24"/>
          <w:szCs w:val="24"/>
        </w:rPr>
        <w:t xml:space="preserve"> </w:t>
      </w:r>
      <w:r w:rsidRPr="00B95E38">
        <w:rPr>
          <w:rFonts w:asciiTheme="majorBidi" w:hAnsiTheme="majorBidi" w:cstheme="majorBidi"/>
          <w:sz w:val="24"/>
          <w:szCs w:val="24"/>
        </w:rPr>
        <w:t>isothermes d’adsorption et de désorption</w:t>
      </w:r>
    </w:p>
    <w:p w:rsidR="00355B80" w:rsidRPr="00B95E38" w:rsidRDefault="00355B80" w:rsidP="00B95E38">
      <w:pPr>
        <w:pStyle w:val="Paragraphedeliste"/>
        <w:numPr>
          <w:ilvl w:val="1"/>
          <w:numId w:val="5"/>
        </w:numPr>
        <w:rPr>
          <w:rFonts w:asciiTheme="majorBidi" w:hAnsiTheme="majorBidi" w:cstheme="majorBidi"/>
          <w:b/>
          <w:bCs/>
          <w:sz w:val="24"/>
          <w:szCs w:val="24"/>
        </w:rPr>
      </w:pPr>
      <w:r w:rsidRPr="00B95E38">
        <w:rPr>
          <w:rFonts w:asciiTheme="majorBidi" w:hAnsiTheme="majorBidi" w:cstheme="majorBidi"/>
          <w:b/>
          <w:bCs/>
          <w:sz w:val="24"/>
          <w:szCs w:val="24"/>
        </w:rPr>
        <w:t xml:space="preserve"> Activité de l’eau et conservation des aliments </w:t>
      </w:r>
    </w:p>
    <w:p w:rsidR="00324436" w:rsidRPr="00B95E38" w:rsidRDefault="00740189" w:rsidP="00324436">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L’importance de l’activité de l’eau pour </w:t>
      </w:r>
      <w:r w:rsidRPr="00B95E38">
        <w:rPr>
          <w:rStyle w:val="Accentuation"/>
          <w:rFonts w:asciiTheme="majorBidi" w:hAnsiTheme="majorBidi" w:cstheme="majorBidi"/>
          <w:i w:val="0"/>
          <w:iCs w:val="0"/>
        </w:rPr>
        <w:t>la stabilité des denrées alimentaires</w:t>
      </w:r>
      <w:r w:rsidRPr="00B95E38">
        <w:rPr>
          <w:rFonts w:asciiTheme="majorBidi" w:hAnsiTheme="majorBidi" w:cstheme="majorBidi"/>
        </w:rPr>
        <w:t> lors de traitements et entreposage est illustrée de manière très évidente ci-après. D'une manière générale, une </w:t>
      </w:r>
      <w:r w:rsidRPr="00B95E38">
        <w:rPr>
          <w:rStyle w:val="Accentuation"/>
          <w:rFonts w:asciiTheme="majorBidi" w:hAnsiTheme="majorBidi" w:cstheme="majorBidi"/>
          <w:i w:val="0"/>
          <w:iCs w:val="0"/>
        </w:rPr>
        <w:t>stabilité optimale</w:t>
      </w:r>
      <w:r w:rsidRPr="00B95E38">
        <w:rPr>
          <w:rFonts w:asciiTheme="majorBidi" w:hAnsiTheme="majorBidi" w:cstheme="majorBidi"/>
        </w:rPr>
        <w:t> est obtenue lorsque l'</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xml:space="preserve"> est </w:t>
      </w:r>
      <w:proofErr w:type="gramStart"/>
      <w:r w:rsidRPr="00B95E38">
        <w:rPr>
          <w:rFonts w:asciiTheme="majorBidi" w:hAnsiTheme="majorBidi" w:cstheme="majorBidi"/>
        </w:rPr>
        <w:t>située</w:t>
      </w:r>
      <w:proofErr w:type="gramEnd"/>
      <w:r w:rsidRPr="00B95E38">
        <w:rPr>
          <w:rFonts w:asciiTheme="majorBidi" w:hAnsiTheme="majorBidi" w:cstheme="majorBidi"/>
        </w:rPr>
        <w:t xml:space="preserve"> entre 0,2 et 0,3.</w:t>
      </w:r>
    </w:p>
    <w:p w:rsidR="00324436" w:rsidRDefault="00324436" w:rsidP="00324436">
      <w:pPr>
        <w:pStyle w:val="NormalWeb"/>
        <w:shd w:val="clear" w:color="auto" w:fill="FCFCFC"/>
        <w:spacing w:before="0" w:beforeAutospacing="0" w:after="178" w:afterAutospacing="0" w:line="276" w:lineRule="auto"/>
        <w:rPr>
          <w:rFonts w:asciiTheme="majorBidi" w:hAnsiTheme="majorBidi" w:cstheme="majorBidi"/>
        </w:rPr>
      </w:pPr>
      <w:r>
        <w:rPr>
          <w:rFonts w:asciiTheme="majorBidi" w:hAnsiTheme="majorBidi" w:cstheme="majorBidi"/>
          <w:noProof/>
        </w:rPr>
        <w:drawing>
          <wp:anchor distT="0" distB="0" distL="114300" distR="114300" simplePos="0" relativeHeight="251659264" behindDoc="0" locked="0" layoutInCell="1" allowOverlap="1">
            <wp:simplePos x="0" y="0"/>
            <wp:positionH relativeFrom="column">
              <wp:posOffset>919480</wp:posOffset>
            </wp:positionH>
            <wp:positionV relativeFrom="paragraph">
              <wp:posOffset>51435</wp:posOffset>
            </wp:positionV>
            <wp:extent cx="3973830" cy="3038475"/>
            <wp:effectExtent l="19050" t="0" r="7620" b="0"/>
            <wp:wrapSquare wrapText="bothSides"/>
            <wp:docPr id="6" name="Image 6" descr="Risques de détérioration des aliments en fonction de l'activité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ques de détérioration des aliments en fonction de l'activité de l'eau"/>
                    <pic:cNvPicPr>
                      <a:picLocks noChangeAspect="1" noChangeArrowheads="1"/>
                    </pic:cNvPicPr>
                  </pic:nvPicPr>
                  <pic:blipFill>
                    <a:blip r:embed="rId8"/>
                    <a:srcRect b="4491"/>
                    <a:stretch>
                      <a:fillRect/>
                    </a:stretch>
                  </pic:blipFill>
                  <pic:spPr bwMode="auto">
                    <a:xfrm>
                      <a:off x="0" y="0"/>
                      <a:ext cx="3973830" cy="3038475"/>
                    </a:xfrm>
                    <a:prstGeom prst="rect">
                      <a:avLst/>
                    </a:prstGeom>
                    <a:noFill/>
                    <a:ln w="9525">
                      <a:noFill/>
                      <a:miter lim="800000"/>
                      <a:headEnd/>
                      <a:tailEnd/>
                    </a:ln>
                  </pic:spPr>
                </pic:pic>
              </a:graphicData>
            </a:graphic>
          </wp:anchor>
        </w:drawing>
      </w:r>
      <w:r>
        <w:rPr>
          <w:rFonts w:asciiTheme="majorBidi" w:hAnsiTheme="majorBidi" w:cstheme="majorBidi"/>
        </w:rPr>
        <w:br w:type="textWrapping" w:clear="all"/>
      </w:r>
    </w:p>
    <w:p w:rsidR="00740189" w:rsidRPr="00324436" w:rsidRDefault="00324436" w:rsidP="00324436">
      <w:pPr>
        <w:tabs>
          <w:tab w:val="left" w:pos="1230"/>
        </w:tabs>
        <w:rPr>
          <w:rFonts w:asciiTheme="majorBidi" w:hAnsiTheme="majorBidi" w:cstheme="majorBidi"/>
          <w:sz w:val="24"/>
          <w:szCs w:val="24"/>
          <w:lang w:eastAsia="fr-FR"/>
        </w:rPr>
      </w:pPr>
      <w:r>
        <w:rPr>
          <w:lang w:eastAsia="fr-FR"/>
        </w:rPr>
        <w:tab/>
      </w:r>
      <w:r w:rsidRPr="00324436">
        <w:rPr>
          <w:rFonts w:asciiTheme="majorBidi" w:hAnsiTheme="majorBidi" w:cstheme="majorBidi"/>
          <w:b/>
          <w:bCs/>
          <w:sz w:val="24"/>
          <w:szCs w:val="24"/>
          <w:lang w:eastAsia="fr-FR"/>
        </w:rPr>
        <w:t>Figure 03 :</w:t>
      </w:r>
      <w:r w:rsidRPr="00324436">
        <w:rPr>
          <w:rFonts w:asciiTheme="majorBidi" w:hAnsiTheme="majorBidi" w:cstheme="majorBidi"/>
          <w:sz w:val="24"/>
          <w:szCs w:val="24"/>
          <w:lang w:eastAsia="fr-FR"/>
        </w:rPr>
        <w:t xml:space="preserve"> risques de détérioration des aliments en fonction de l’</w:t>
      </w:r>
      <w:proofErr w:type="spellStart"/>
      <w:r w:rsidRPr="00324436">
        <w:rPr>
          <w:rFonts w:asciiTheme="majorBidi" w:hAnsiTheme="majorBidi" w:cstheme="majorBidi"/>
          <w:sz w:val="24"/>
          <w:szCs w:val="24"/>
          <w:lang w:eastAsia="fr-FR"/>
        </w:rPr>
        <w:t>aw</w:t>
      </w:r>
      <w:proofErr w:type="spellEnd"/>
    </w:p>
    <w:p w:rsidR="00740189" w:rsidRPr="00B95E38" w:rsidRDefault="00740189" w:rsidP="00B95E38">
      <w:pPr>
        <w:pStyle w:val="Titre3"/>
        <w:numPr>
          <w:ilvl w:val="1"/>
          <w:numId w:val="4"/>
        </w:numPr>
        <w:shd w:val="clear" w:color="auto" w:fill="FCFCFC"/>
        <w:spacing w:before="356" w:after="178"/>
        <w:ind w:left="426" w:hanging="426"/>
        <w:jc w:val="both"/>
        <w:rPr>
          <w:rFonts w:asciiTheme="majorBidi" w:hAnsiTheme="majorBidi"/>
          <w:color w:val="auto"/>
          <w:sz w:val="24"/>
          <w:szCs w:val="24"/>
        </w:rPr>
      </w:pPr>
      <w:r w:rsidRPr="00B95E38">
        <w:rPr>
          <w:rFonts w:asciiTheme="majorBidi" w:hAnsiTheme="majorBidi"/>
          <w:color w:val="auto"/>
          <w:sz w:val="24"/>
          <w:szCs w:val="24"/>
        </w:rPr>
        <w:t>Activité de l'eau et les réactions d'oxydation</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Style w:val="Accentuation"/>
          <w:rFonts w:asciiTheme="majorBidi" w:hAnsiTheme="majorBidi" w:cstheme="majorBidi"/>
          <w:i w:val="0"/>
          <w:iCs w:val="0"/>
        </w:rPr>
        <w:t>Le rancissement</w:t>
      </w:r>
      <w:r w:rsidRPr="00B95E38">
        <w:rPr>
          <w:rFonts w:asciiTheme="majorBidi" w:hAnsiTheme="majorBidi" w:cstheme="majorBidi"/>
        </w:rPr>
        <w:t> est une des principales réactions de détérioration des aliments à faible ou moyenne teneur en eau ; il s’observe même pour des activités d’eau comprises entre 0 et 0,2 environ (courbe en rouge).</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Style w:val="Accentuation"/>
          <w:rFonts w:asciiTheme="majorBidi" w:hAnsiTheme="majorBidi" w:cstheme="majorBidi"/>
          <w:i w:val="0"/>
          <w:iCs w:val="0"/>
        </w:rPr>
        <w:lastRenderedPageBreak/>
        <w:t>L’oxydation des lipides</w:t>
      </w:r>
      <w:r w:rsidRPr="00B95E38">
        <w:rPr>
          <w:rFonts w:asciiTheme="majorBidi" w:hAnsiTheme="majorBidi" w:cstheme="majorBidi"/>
        </w:rPr>
        <w:t> constitue souvent le facteur limitant de la conservation de certains aliments déshydratés ou à teneur moyenne en eau. L’addition d’antioxydants ou une élévation de la teneur en eau peut modifier ces données et aboutir à faire dépendre la stabilité d’autres réactions d’altérations en particulier </w:t>
      </w:r>
      <w:r w:rsidRPr="00B95E38">
        <w:rPr>
          <w:rStyle w:val="Accentuation"/>
          <w:rFonts w:asciiTheme="majorBidi" w:hAnsiTheme="majorBidi" w:cstheme="majorBidi"/>
          <w:i w:val="0"/>
          <w:iCs w:val="0"/>
        </w:rPr>
        <w:t>le brunissement non enzymatique</w:t>
      </w:r>
      <w:r w:rsidRPr="00B95E38">
        <w:rPr>
          <w:rFonts w:asciiTheme="majorBidi" w:hAnsiTheme="majorBidi" w:cstheme="majorBidi"/>
        </w:rPr>
        <w:t>.</w:t>
      </w:r>
    </w:p>
    <w:p w:rsidR="00740189" w:rsidRPr="00B95E38" w:rsidRDefault="00740189" w:rsidP="00B95E38">
      <w:pPr>
        <w:pStyle w:val="Titre3"/>
        <w:numPr>
          <w:ilvl w:val="1"/>
          <w:numId w:val="4"/>
        </w:numPr>
        <w:shd w:val="clear" w:color="auto" w:fill="FCFCFC"/>
        <w:spacing w:before="356" w:after="178"/>
        <w:ind w:left="426" w:hanging="426"/>
        <w:jc w:val="both"/>
        <w:rPr>
          <w:rFonts w:asciiTheme="majorBidi" w:hAnsiTheme="majorBidi"/>
          <w:color w:val="auto"/>
          <w:sz w:val="24"/>
          <w:szCs w:val="24"/>
        </w:rPr>
      </w:pPr>
      <w:r w:rsidRPr="00B95E38">
        <w:rPr>
          <w:rFonts w:asciiTheme="majorBidi" w:hAnsiTheme="majorBidi"/>
          <w:color w:val="auto"/>
          <w:sz w:val="24"/>
          <w:szCs w:val="24"/>
        </w:rPr>
        <w:t xml:space="preserve">Activité de l'eau et le brunissement non enzymatique (Réaction de </w:t>
      </w:r>
      <w:proofErr w:type="spellStart"/>
      <w:r w:rsidRPr="00B95E38">
        <w:rPr>
          <w:rFonts w:asciiTheme="majorBidi" w:hAnsiTheme="majorBidi"/>
          <w:color w:val="auto"/>
          <w:sz w:val="24"/>
          <w:szCs w:val="24"/>
        </w:rPr>
        <w:t>maillard</w:t>
      </w:r>
      <w:proofErr w:type="spellEnd"/>
      <w:r w:rsidRPr="00B95E38">
        <w:rPr>
          <w:rFonts w:asciiTheme="majorBidi" w:hAnsiTheme="majorBidi"/>
          <w:color w:val="auto"/>
          <w:sz w:val="24"/>
          <w:szCs w:val="24"/>
        </w:rPr>
        <w:t>)</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 vitesse de </w:t>
      </w:r>
      <w:r w:rsidRPr="00B95E38">
        <w:rPr>
          <w:rStyle w:val="Accentuation"/>
          <w:rFonts w:asciiTheme="majorBidi" w:hAnsiTheme="majorBidi" w:cstheme="majorBidi"/>
          <w:i w:val="0"/>
          <w:iCs w:val="0"/>
        </w:rPr>
        <w:t>brunissement non enzymatique</w:t>
      </w:r>
      <w:r w:rsidRPr="00B95E38">
        <w:rPr>
          <w:rFonts w:asciiTheme="majorBidi" w:hAnsiTheme="majorBidi" w:cstheme="majorBidi"/>
        </w:rPr>
        <w:t> augmente rapidement avec l’activité de l’eau et atteint un maximum à des activités comprises entre 0,5 et 0,7 (courbe en gris). Au delà de ces valeurs, la vitesse de cette réaction diminue.</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Tout comme l’oxydation des lipides, le BNE est souvent le facteur limitant de la conservation des aliments à teneur moyenne en eau. C’est aussi une réaction de détérioration gênante lors des opérations de déshydratation où il faut s’efforcer de traverser la zone critique le plus rapidement possible et à une température minimale.</w:t>
      </w:r>
    </w:p>
    <w:p w:rsidR="00740189" w:rsidRPr="00B95E38" w:rsidRDefault="00740189" w:rsidP="00B95E38">
      <w:pPr>
        <w:pStyle w:val="Titre3"/>
        <w:numPr>
          <w:ilvl w:val="1"/>
          <w:numId w:val="4"/>
        </w:numPr>
        <w:shd w:val="clear" w:color="auto" w:fill="FCFCFC"/>
        <w:spacing w:before="356" w:after="178"/>
        <w:ind w:left="426" w:hanging="426"/>
        <w:jc w:val="both"/>
        <w:rPr>
          <w:rFonts w:asciiTheme="majorBidi" w:hAnsiTheme="majorBidi"/>
          <w:color w:val="auto"/>
          <w:sz w:val="24"/>
          <w:szCs w:val="24"/>
        </w:rPr>
      </w:pPr>
      <w:r w:rsidRPr="00B95E38">
        <w:rPr>
          <w:rFonts w:asciiTheme="majorBidi" w:hAnsiTheme="majorBidi"/>
          <w:color w:val="auto"/>
          <w:sz w:val="24"/>
          <w:szCs w:val="24"/>
        </w:rPr>
        <w:t>Activité de l'eau et le brunissement enzymatique</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L’activité enzymatique (courbe en orange) et le taux final d’hydrolyse s’élèvent considérablement lorsque l’activité de l’eau dépasse 0,7.</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Pour éviter l'effet indésirable de l'</w:t>
      </w:r>
      <w:r w:rsidRPr="00B95E38">
        <w:rPr>
          <w:rStyle w:val="Accentuation"/>
          <w:rFonts w:asciiTheme="majorBidi" w:hAnsiTheme="majorBidi" w:cstheme="majorBidi"/>
          <w:i w:val="0"/>
          <w:iCs w:val="0"/>
        </w:rPr>
        <w:t>activité enzymatique</w:t>
      </w:r>
      <w:r w:rsidRPr="00B95E38">
        <w:rPr>
          <w:rFonts w:asciiTheme="majorBidi" w:hAnsiTheme="majorBidi" w:cstheme="majorBidi"/>
        </w:rPr>
        <w:t> qui peut avoir lieu lors de l’entreposage des aliments même à l’état déshydraté ou congelé, on pratique généralement un blanchiment, avant la déshydratation ou la congélation, qui a pour but principal la destruction des enzymes.</w:t>
      </w:r>
    </w:p>
    <w:p w:rsidR="00740189" w:rsidRPr="00B95E38" w:rsidRDefault="00740189" w:rsidP="00B95E38">
      <w:pPr>
        <w:pStyle w:val="Titre3"/>
        <w:numPr>
          <w:ilvl w:val="1"/>
          <w:numId w:val="4"/>
        </w:numPr>
        <w:shd w:val="clear" w:color="auto" w:fill="FCFCFC"/>
        <w:spacing w:before="356" w:after="178"/>
        <w:ind w:left="426" w:hanging="426"/>
        <w:jc w:val="both"/>
        <w:rPr>
          <w:rFonts w:asciiTheme="majorBidi" w:hAnsiTheme="majorBidi"/>
          <w:color w:val="auto"/>
          <w:sz w:val="24"/>
          <w:szCs w:val="24"/>
        </w:rPr>
      </w:pPr>
      <w:r w:rsidRPr="00B95E38">
        <w:rPr>
          <w:rFonts w:asciiTheme="majorBidi" w:hAnsiTheme="majorBidi"/>
          <w:color w:val="auto"/>
          <w:sz w:val="24"/>
          <w:szCs w:val="24"/>
        </w:rPr>
        <w:t>Activité de l'eau et les activités microbiennes</w:t>
      </w:r>
    </w:p>
    <w:p w:rsidR="00740189" w:rsidRPr="00B95E38" w:rsidRDefault="00740189" w:rsidP="00B95E38">
      <w:pPr>
        <w:pStyle w:val="NormalWeb"/>
        <w:shd w:val="clear" w:color="auto" w:fill="FCFCFC"/>
        <w:spacing w:before="0" w:beforeAutospacing="0" w:after="178" w:afterAutospacing="0" w:line="276" w:lineRule="auto"/>
        <w:jc w:val="both"/>
        <w:rPr>
          <w:rFonts w:asciiTheme="majorBidi" w:hAnsiTheme="majorBidi" w:cstheme="majorBidi"/>
        </w:rPr>
      </w:pPr>
      <w:r w:rsidRPr="00B95E38">
        <w:rPr>
          <w:rFonts w:asciiTheme="majorBidi" w:hAnsiTheme="majorBidi" w:cstheme="majorBidi"/>
        </w:rPr>
        <w:t>La croissance des </w:t>
      </w:r>
      <w:r w:rsidRPr="00B95E38">
        <w:rPr>
          <w:rStyle w:val="Accentuation"/>
          <w:rFonts w:asciiTheme="majorBidi" w:hAnsiTheme="majorBidi" w:cstheme="majorBidi"/>
          <w:i w:val="0"/>
          <w:iCs w:val="0"/>
        </w:rPr>
        <w:t>bactéries</w:t>
      </w:r>
      <w:r w:rsidRPr="00B95E38">
        <w:rPr>
          <w:rFonts w:asciiTheme="majorBidi" w:hAnsiTheme="majorBidi" w:cstheme="majorBidi"/>
        </w:rPr>
        <w:t> (courbe en noir) est généralement impossible lorsque l’</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&lt; 0,90. Les </w:t>
      </w:r>
      <w:r w:rsidRPr="00B95E38">
        <w:rPr>
          <w:rStyle w:val="Accentuation"/>
          <w:rFonts w:asciiTheme="majorBidi" w:hAnsiTheme="majorBidi" w:cstheme="majorBidi"/>
          <w:i w:val="0"/>
          <w:iCs w:val="0"/>
        </w:rPr>
        <w:t>moisissures</w:t>
      </w:r>
      <w:r w:rsidRPr="00B95E38">
        <w:rPr>
          <w:rFonts w:asciiTheme="majorBidi" w:hAnsiTheme="majorBidi" w:cstheme="majorBidi"/>
        </w:rPr>
        <w:t> et les </w:t>
      </w:r>
      <w:r w:rsidRPr="00B95E38">
        <w:rPr>
          <w:rStyle w:val="Accentuation"/>
          <w:rFonts w:asciiTheme="majorBidi" w:hAnsiTheme="majorBidi" w:cstheme="majorBidi"/>
          <w:i w:val="0"/>
          <w:iCs w:val="0"/>
        </w:rPr>
        <w:t>levures</w:t>
      </w:r>
      <w:r w:rsidRPr="00B95E38">
        <w:rPr>
          <w:rFonts w:asciiTheme="majorBidi" w:hAnsiTheme="majorBidi" w:cstheme="majorBidi"/>
        </w:rPr>
        <w:t xml:space="preserve"> (courbes en vert clair et vert foncé) sont inhibés respectivement vers </w:t>
      </w:r>
      <w:proofErr w:type="gramStart"/>
      <w:r w:rsidRPr="00B95E38">
        <w:rPr>
          <w:rFonts w:asciiTheme="majorBidi" w:hAnsiTheme="majorBidi" w:cstheme="majorBidi"/>
        </w:rPr>
        <w:t>une</w:t>
      </w:r>
      <w:proofErr w:type="gramEnd"/>
      <w:r w:rsidRPr="00B95E38">
        <w:rPr>
          <w:rFonts w:asciiTheme="majorBidi" w:hAnsiTheme="majorBidi" w:cstheme="majorBidi"/>
        </w:rPr>
        <w:t xml:space="preserve"> </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de 0,7 et 0,8 sauf certaines moisissures et levures </w:t>
      </w:r>
      <w:proofErr w:type="spellStart"/>
      <w:r w:rsidRPr="00B95E38">
        <w:rPr>
          <w:rStyle w:val="Accentuation"/>
          <w:rFonts w:asciiTheme="majorBidi" w:hAnsiTheme="majorBidi" w:cstheme="majorBidi"/>
          <w:i w:val="0"/>
          <w:iCs w:val="0"/>
        </w:rPr>
        <w:t>osmophiles</w:t>
      </w:r>
      <w:proofErr w:type="spellEnd"/>
      <w:r w:rsidRPr="00B95E38">
        <w:rPr>
          <w:rFonts w:asciiTheme="majorBidi" w:hAnsiTheme="majorBidi" w:cstheme="majorBidi"/>
        </w:rPr>
        <w:t xml:space="preserve"> qui peuvent se développer jusqu’aux des </w:t>
      </w:r>
      <w:proofErr w:type="spellStart"/>
      <w:r w:rsidRPr="00B95E38">
        <w:rPr>
          <w:rFonts w:asciiTheme="majorBidi" w:hAnsiTheme="majorBidi" w:cstheme="majorBidi"/>
        </w:rPr>
        <w:t>a</w:t>
      </w:r>
      <w:r w:rsidRPr="00B95E38">
        <w:rPr>
          <w:rFonts w:asciiTheme="majorBidi" w:hAnsiTheme="majorBidi" w:cstheme="majorBidi"/>
          <w:vertAlign w:val="subscript"/>
        </w:rPr>
        <w:t>w</w:t>
      </w:r>
      <w:proofErr w:type="spellEnd"/>
      <w:r w:rsidRPr="00B95E38">
        <w:rPr>
          <w:rFonts w:asciiTheme="majorBidi" w:hAnsiTheme="majorBidi" w:cstheme="majorBidi"/>
        </w:rPr>
        <w:t> de 0,6. Dans la plupart des cas, </w:t>
      </w:r>
      <w:r w:rsidRPr="00B95E38">
        <w:rPr>
          <w:rStyle w:val="Accentuation"/>
          <w:rFonts w:asciiTheme="majorBidi" w:hAnsiTheme="majorBidi" w:cstheme="majorBidi"/>
          <w:i w:val="0"/>
          <w:iCs w:val="0"/>
        </w:rPr>
        <w:t>l’</w:t>
      </w:r>
      <w:proofErr w:type="spellStart"/>
      <w:r w:rsidRPr="00B95E38">
        <w:rPr>
          <w:rStyle w:val="Accentuation"/>
          <w:rFonts w:asciiTheme="majorBidi" w:hAnsiTheme="majorBidi" w:cstheme="majorBidi"/>
          <w:i w:val="0"/>
          <w:iCs w:val="0"/>
        </w:rPr>
        <w:t>a</w:t>
      </w:r>
      <w:r w:rsidRPr="00B95E38">
        <w:rPr>
          <w:rStyle w:val="Accentuation"/>
          <w:rFonts w:asciiTheme="majorBidi" w:hAnsiTheme="majorBidi" w:cstheme="majorBidi"/>
          <w:i w:val="0"/>
          <w:iCs w:val="0"/>
          <w:vertAlign w:val="subscript"/>
        </w:rPr>
        <w:t>w</w:t>
      </w:r>
      <w:proofErr w:type="spellEnd"/>
      <w:r w:rsidRPr="00B95E38">
        <w:rPr>
          <w:rStyle w:val="Accentuation"/>
          <w:rFonts w:asciiTheme="majorBidi" w:hAnsiTheme="majorBidi" w:cstheme="majorBidi"/>
          <w:i w:val="0"/>
          <w:iCs w:val="0"/>
        </w:rPr>
        <w:t> limite de croissance</w:t>
      </w:r>
      <w:r w:rsidRPr="00B95E38">
        <w:rPr>
          <w:rFonts w:asciiTheme="majorBidi" w:hAnsiTheme="majorBidi" w:cstheme="majorBidi"/>
        </w:rPr>
        <w:t xml:space="preserve"> d'un microorganisme est </w:t>
      </w:r>
      <w:proofErr w:type="gramStart"/>
      <w:r w:rsidRPr="00B95E38">
        <w:rPr>
          <w:rFonts w:asciiTheme="majorBidi" w:hAnsiTheme="majorBidi" w:cstheme="majorBidi"/>
        </w:rPr>
        <w:t>différente</w:t>
      </w:r>
      <w:proofErr w:type="gramEnd"/>
      <w:r w:rsidRPr="00B95E38">
        <w:rPr>
          <w:rFonts w:asciiTheme="majorBidi" w:hAnsiTheme="majorBidi" w:cstheme="majorBidi"/>
        </w:rPr>
        <w:t xml:space="preserve"> de</w:t>
      </w:r>
      <w:r w:rsidRPr="00B95E38">
        <w:rPr>
          <w:rStyle w:val="Accentuation"/>
          <w:rFonts w:asciiTheme="majorBidi" w:hAnsiTheme="majorBidi" w:cstheme="majorBidi"/>
          <w:i w:val="0"/>
          <w:iCs w:val="0"/>
        </w:rPr>
        <w:t> l’</w:t>
      </w:r>
      <w:proofErr w:type="spellStart"/>
      <w:r w:rsidRPr="00B95E38">
        <w:rPr>
          <w:rStyle w:val="Accentuation"/>
          <w:rFonts w:asciiTheme="majorBidi" w:hAnsiTheme="majorBidi" w:cstheme="majorBidi"/>
          <w:i w:val="0"/>
          <w:iCs w:val="0"/>
        </w:rPr>
        <w:t>a</w:t>
      </w:r>
      <w:r w:rsidRPr="00B95E38">
        <w:rPr>
          <w:rStyle w:val="Accentuation"/>
          <w:rFonts w:asciiTheme="majorBidi" w:hAnsiTheme="majorBidi" w:cstheme="majorBidi"/>
          <w:i w:val="0"/>
          <w:iCs w:val="0"/>
          <w:vertAlign w:val="subscript"/>
        </w:rPr>
        <w:t>w</w:t>
      </w:r>
      <w:proofErr w:type="spellEnd"/>
      <w:r w:rsidRPr="00B95E38">
        <w:rPr>
          <w:rStyle w:val="Accentuation"/>
          <w:rFonts w:asciiTheme="majorBidi" w:hAnsiTheme="majorBidi" w:cstheme="majorBidi"/>
          <w:i w:val="0"/>
          <w:iCs w:val="0"/>
        </w:rPr>
        <w:t> limite nécessaire pour la production de sa toxine</w:t>
      </w:r>
      <w:r w:rsidRPr="00B95E38">
        <w:rPr>
          <w:rFonts w:asciiTheme="majorBidi" w:hAnsiTheme="majorBidi" w:cstheme="majorBidi"/>
        </w:rPr>
        <w:t>.</w:t>
      </w:r>
    </w:p>
    <w:p w:rsidR="00740189" w:rsidRPr="00B95E38" w:rsidRDefault="00740189" w:rsidP="00B95E38">
      <w:pPr>
        <w:pStyle w:val="NormalWeb"/>
        <w:shd w:val="clear" w:color="auto" w:fill="FCFCFC"/>
        <w:spacing w:before="0" w:beforeAutospacing="0" w:after="0" w:afterAutospacing="0" w:line="276" w:lineRule="auto"/>
        <w:jc w:val="both"/>
        <w:rPr>
          <w:rFonts w:asciiTheme="majorBidi" w:hAnsiTheme="majorBidi" w:cstheme="majorBidi"/>
        </w:rPr>
      </w:pPr>
      <w:r w:rsidRPr="00B95E38">
        <w:rPr>
          <w:rFonts w:asciiTheme="majorBidi" w:hAnsiTheme="majorBidi" w:cstheme="majorBidi"/>
        </w:rPr>
        <w:t>Dans un aliment, une activité de l'eau de 0,7 est considérée comme une limite inférieure présentant toutes les garanties de stabilité microbienne. Cependant 0,91 est une limite en dessous de laquelle le développement des microorganismes est très fortement freiné. C'est cette limite qui a été retenue par la directive communautaire de 1977 pour la conservation des aliments à température ambiante ; elle est même relevée à 0,95 à condition toutefois qu'elle s'accompagne d'un pH inférieur ou égal à 5,2.</w:t>
      </w:r>
    </w:p>
    <w:p w:rsidR="00740189" w:rsidRPr="00B95E38" w:rsidRDefault="00740189" w:rsidP="00B95E38">
      <w:pPr>
        <w:rPr>
          <w:rFonts w:asciiTheme="majorBidi" w:hAnsiTheme="majorBidi" w:cstheme="majorBidi"/>
          <w:sz w:val="24"/>
          <w:szCs w:val="24"/>
        </w:rPr>
      </w:pPr>
    </w:p>
    <w:sectPr w:rsidR="00740189" w:rsidRPr="00B95E38" w:rsidSect="007E7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36E"/>
    <w:multiLevelType w:val="hybridMultilevel"/>
    <w:tmpl w:val="5FBC1B4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EC020F7"/>
    <w:multiLevelType w:val="multilevel"/>
    <w:tmpl w:val="9708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13BBD"/>
    <w:multiLevelType w:val="multilevel"/>
    <w:tmpl w:val="F264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B2ED6"/>
    <w:multiLevelType w:val="multilevel"/>
    <w:tmpl w:val="101E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B6A22"/>
    <w:multiLevelType w:val="multilevel"/>
    <w:tmpl w:val="7E842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93AA7"/>
    <w:multiLevelType w:val="multilevel"/>
    <w:tmpl w:val="9C2A6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978A0"/>
    <w:multiLevelType w:val="multilevel"/>
    <w:tmpl w:val="FB84B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4C77E19"/>
    <w:multiLevelType w:val="multilevel"/>
    <w:tmpl w:val="A262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60A93"/>
    <w:multiLevelType w:val="hybridMultilevel"/>
    <w:tmpl w:val="96AEFA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7E3ADA"/>
    <w:multiLevelType w:val="multilevel"/>
    <w:tmpl w:val="145A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4"/>
  </w:num>
  <w:num w:numId="5">
    <w:abstractNumId w:val="6"/>
  </w:num>
  <w:num w:numId="6">
    <w:abstractNumId w:val="9"/>
  </w:num>
  <w:num w:numId="7">
    <w:abstractNumId w:val="7"/>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274"/>
    <w:rsid w:val="0009454D"/>
    <w:rsid w:val="000D7E50"/>
    <w:rsid w:val="00181BF3"/>
    <w:rsid w:val="00207042"/>
    <w:rsid w:val="00324436"/>
    <w:rsid w:val="00355B80"/>
    <w:rsid w:val="00491EE2"/>
    <w:rsid w:val="004B7E9A"/>
    <w:rsid w:val="00513228"/>
    <w:rsid w:val="005A5445"/>
    <w:rsid w:val="005E6915"/>
    <w:rsid w:val="006A1B9F"/>
    <w:rsid w:val="00740189"/>
    <w:rsid w:val="007E7ACA"/>
    <w:rsid w:val="0082237A"/>
    <w:rsid w:val="008E1546"/>
    <w:rsid w:val="00944158"/>
    <w:rsid w:val="00A4409A"/>
    <w:rsid w:val="00B40028"/>
    <w:rsid w:val="00B43274"/>
    <w:rsid w:val="00B95E38"/>
    <w:rsid w:val="00C24632"/>
    <w:rsid w:val="00DF1860"/>
    <w:rsid w:val="00E12213"/>
    <w:rsid w:val="00E21ABF"/>
    <w:rsid w:val="00EA49E4"/>
    <w:rsid w:val="00F21555"/>
    <w:rsid w:val="00F67BF9"/>
    <w:rsid w:val="00F800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A"/>
  </w:style>
  <w:style w:type="paragraph" w:styleId="Titre2">
    <w:name w:val="heading 2"/>
    <w:basedOn w:val="Normal"/>
    <w:next w:val="Normal"/>
    <w:link w:val="Titre2Car"/>
    <w:uiPriority w:val="9"/>
    <w:semiHidden/>
    <w:unhideWhenUsed/>
    <w:qFormat/>
    <w:rsid w:val="00EA49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F1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40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4409A"/>
    <w:rPr>
      <w:i/>
      <w:iCs/>
    </w:rPr>
  </w:style>
  <w:style w:type="paragraph" w:styleId="Paragraphedeliste">
    <w:name w:val="List Paragraph"/>
    <w:basedOn w:val="Normal"/>
    <w:uiPriority w:val="34"/>
    <w:qFormat/>
    <w:rsid w:val="00A4409A"/>
    <w:pPr>
      <w:ind w:left="720"/>
      <w:contextualSpacing/>
    </w:pPr>
  </w:style>
  <w:style w:type="table" w:styleId="Grilledutableau">
    <w:name w:val="Table Grid"/>
    <w:basedOn w:val="TableauNormal"/>
    <w:uiPriority w:val="59"/>
    <w:rsid w:val="00A44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EA49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F1860"/>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740189"/>
    <w:rPr>
      <w:b/>
      <w:bCs/>
    </w:rPr>
  </w:style>
</w:styles>
</file>

<file path=word/webSettings.xml><?xml version="1.0" encoding="utf-8"?>
<w:webSettings xmlns:r="http://schemas.openxmlformats.org/officeDocument/2006/relationships" xmlns:w="http://schemas.openxmlformats.org/wordprocessingml/2006/main">
  <w:divs>
    <w:div w:id="1400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1539</Words>
  <Characters>8470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dc:creator>
  <cp:lastModifiedBy>belkacem</cp:lastModifiedBy>
  <cp:revision>14</cp:revision>
  <dcterms:created xsi:type="dcterms:W3CDTF">2020-04-05T13:16:00Z</dcterms:created>
  <dcterms:modified xsi:type="dcterms:W3CDTF">2020-04-05T23:10:00Z</dcterms:modified>
</cp:coreProperties>
</file>