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76" w:rsidRPr="00324A75" w:rsidRDefault="0063669E" w:rsidP="007A0B91">
      <w:pPr>
        <w:pStyle w:val="NormalWeb"/>
        <w:shd w:val="clear" w:color="auto" w:fill="FFFFFF"/>
        <w:tabs>
          <w:tab w:val="left" w:pos="353"/>
          <w:tab w:val="center" w:pos="4536"/>
        </w:tabs>
        <w:spacing w:before="0" w:beforeAutospacing="0" w:after="0" w:afterAutospacing="0" w:line="276" w:lineRule="auto"/>
        <w:jc w:val="center"/>
        <w:textAlignment w:val="baseline"/>
        <w:rPr>
          <w:rFonts w:asciiTheme="majorBidi" w:hAnsiTheme="majorBidi" w:cstheme="majorBidi"/>
          <w:b/>
          <w:bCs/>
        </w:rPr>
      </w:pPr>
      <w:r w:rsidRPr="00324A75">
        <w:rPr>
          <w:rFonts w:asciiTheme="majorBidi" w:hAnsiTheme="majorBidi" w:cstheme="majorBidi"/>
          <w:b/>
          <w:bCs/>
        </w:rPr>
        <w:t>Chapitre 2 : méthodes de dosage des éléments</w:t>
      </w:r>
      <w:r w:rsidR="00C90363" w:rsidRPr="00324A75">
        <w:rPr>
          <w:rFonts w:asciiTheme="majorBidi" w:hAnsiTheme="majorBidi" w:cstheme="majorBidi"/>
          <w:b/>
          <w:bCs/>
        </w:rPr>
        <w:t xml:space="preserve"> minéraux</w:t>
      </w:r>
    </w:p>
    <w:p w:rsidR="00C90363" w:rsidRPr="00324A75" w:rsidRDefault="00C90363" w:rsidP="005B78D6">
      <w:pPr>
        <w:pStyle w:val="NormalWeb"/>
        <w:shd w:val="clear" w:color="auto" w:fill="FFFFFF"/>
        <w:spacing w:before="0" w:beforeAutospacing="0" w:after="0" w:afterAutospacing="0" w:line="276" w:lineRule="auto"/>
        <w:jc w:val="both"/>
        <w:textAlignment w:val="baseline"/>
        <w:rPr>
          <w:rFonts w:asciiTheme="majorBidi" w:hAnsiTheme="majorBidi" w:cstheme="majorBidi"/>
        </w:rPr>
      </w:pPr>
    </w:p>
    <w:p w:rsidR="00C90363" w:rsidRPr="00324A75" w:rsidRDefault="00C90363" w:rsidP="005B78D6">
      <w:pPr>
        <w:pStyle w:val="NormalWeb"/>
        <w:shd w:val="clear" w:color="auto" w:fill="FFFFFF"/>
        <w:spacing w:before="0" w:beforeAutospacing="0" w:after="0" w:afterAutospacing="0" w:line="276" w:lineRule="auto"/>
        <w:jc w:val="both"/>
        <w:textAlignment w:val="baseline"/>
        <w:rPr>
          <w:rFonts w:asciiTheme="majorBidi" w:hAnsiTheme="majorBidi" w:cstheme="majorBidi"/>
        </w:rPr>
      </w:pPr>
      <w:r w:rsidRPr="00324A75">
        <w:rPr>
          <w:rFonts w:asciiTheme="majorBidi" w:hAnsiTheme="majorBidi" w:cstheme="majorBidi"/>
        </w:rPr>
        <w:t xml:space="preserve">Les  sels minéraux sont des substances essentielles au bon fonctionnement de l’organisme. </w:t>
      </w:r>
      <w:r w:rsidR="00E30E23" w:rsidRPr="00324A75">
        <w:rPr>
          <w:rFonts w:asciiTheme="majorBidi" w:hAnsiTheme="majorBidi" w:cstheme="majorBidi"/>
        </w:rPr>
        <w:t>Ils jouent un rôle important dans le maintien de l’équilibre hydrique du corps humain ainsi que la bonne conduite de son métabolisme et ses fonctions vitales comme la fonction cardiaque.</w:t>
      </w:r>
      <w:r w:rsidR="00E30E23" w:rsidRPr="00324A75">
        <w:rPr>
          <w:rFonts w:asciiTheme="majorBidi" w:hAnsiTheme="majorBidi" w:cstheme="majorBidi"/>
        </w:rPr>
        <w:br/>
        <w:t>Selon</w:t>
      </w:r>
      <w:r w:rsidR="00502BCC" w:rsidRPr="00324A75">
        <w:rPr>
          <w:rFonts w:asciiTheme="majorBidi" w:hAnsiTheme="majorBidi" w:cstheme="majorBidi"/>
        </w:rPr>
        <w:t xml:space="preserve"> les quantités</w:t>
      </w:r>
      <w:r w:rsidR="00502BCC" w:rsidRPr="00324A75">
        <w:rPr>
          <w:rFonts w:asciiTheme="majorBidi" w:hAnsiTheme="majorBidi" w:cstheme="majorBidi"/>
          <w:b/>
          <w:bCs/>
        </w:rPr>
        <w:t xml:space="preserve"> </w:t>
      </w:r>
      <w:r w:rsidR="00502BCC" w:rsidRPr="00324A75">
        <w:rPr>
          <w:rFonts w:asciiTheme="majorBidi" w:hAnsiTheme="majorBidi" w:cstheme="majorBidi"/>
        </w:rPr>
        <w:t>mises en jeu dans l'organisme, les sels minéraux sont divisés en 2 catégories:</w:t>
      </w:r>
    </w:p>
    <w:p w:rsidR="00C90363" w:rsidRPr="00324A75" w:rsidRDefault="00C90363" w:rsidP="005B78D6">
      <w:pPr>
        <w:pStyle w:val="NormalWeb"/>
        <w:shd w:val="clear" w:color="auto" w:fill="FFFFFF"/>
        <w:spacing w:before="0" w:beforeAutospacing="0" w:after="0" w:afterAutospacing="0" w:line="276" w:lineRule="auto"/>
        <w:jc w:val="both"/>
        <w:textAlignment w:val="baseline"/>
        <w:rPr>
          <w:rFonts w:asciiTheme="majorBidi" w:hAnsiTheme="majorBidi" w:cstheme="majorBidi"/>
          <w:b/>
          <w:bCs/>
          <w:u w:val="single"/>
        </w:rPr>
      </w:pPr>
      <w:r w:rsidRPr="00324A75">
        <w:rPr>
          <w:rFonts w:asciiTheme="majorBidi" w:hAnsiTheme="majorBidi" w:cstheme="majorBidi"/>
          <w:b/>
          <w:bCs/>
          <w:u w:val="single"/>
        </w:rPr>
        <w:t>Les macroéléments ou éléments majeurs</w:t>
      </w:r>
    </w:p>
    <w:p w:rsidR="00C90363" w:rsidRPr="00324A75" w:rsidRDefault="00C90363" w:rsidP="005B78D6">
      <w:pPr>
        <w:spacing w:after="0"/>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Appelés ainsi car ils exigent des apports supérieurs à 100 mg par jour, il en existe 7 différents qui sont : le </w:t>
      </w:r>
      <w:r w:rsidRPr="00324A75">
        <w:rPr>
          <w:rFonts w:asciiTheme="majorBidi" w:eastAsia="Times New Roman" w:hAnsiTheme="majorBidi" w:cstheme="majorBidi"/>
          <w:b/>
          <w:bCs/>
          <w:sz w:val="24"/>
          <w:szCs w:val="24"/>
          <w:lang w:eastAsia="fr-FR"/>
        </w:rPr>
        <w:t>calcium</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magnésium</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potassium</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phosphore</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soufre</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sodium</w:t>
      </w:r>
      <w:r w:rsidRPr="00324A75">
        <w:rPr>
          <w:rFonts w:asciiTheme="majorBidi" w:eastAsia="Times New Roman" w:hAnsiTheme="majorBidi" w:cstheme="majorBidi"/>
          <w:sz w:val="24"/>
          <w:szCs w:val="24"/>
          <w:lang w:eastAsia="fr-FR"/>
        </w:rPr>
        <w:t> et le </w:t>
      </w:r>
      <w:r w:rsidRPr="00324A75">
        <w:rPr>
          <w:rFonts w:asciiTheme="majorBidi" w:eastAsia="Times New Roman" w:hAnsiTheme="majorBidi" w:cstheme="majorBidi"/>
          <w:b/>
          <w:bCs/>
          <w:sz w:val="24"/>
          <w:szCs w:val="24"/>
          <w:lang w:eastAsia="fr-FR"/>
        </w:rPr>
        <w:t>chlore</w:t>
      </w:r>
      <w:r w:rsidRPr="00324A75">
        <w:rPr>
          <w:rFonts w:asciiTheme="majorBidi" w:eastAsia="Times New Roman" w:hAnsiTheme="majorBidi" w:cstheme="majorBidi"/>
          <w:sz w:val="24"/>
          <w:szCs w:val="24"/>
          <w:lang w:eastAsia="fr-FR"/>
        </w:rPr>
        <w:t>.</w:t>
      </w:r>
    </w:p>
    <w:p w:rsidR="00C90363" w:rsidRPr="00324A75" w:rsidRDefault="00C90363" w:rsidP="005B78D6">
      <w:pPr>
        <w:spacing w:after="0"/>
        <w:jc w:val="both"/>
        <w:textAlignment w:val="baseline"/>
        <w:rPr>
          <w:rFonts w:asciiTheme="majorBidi" w:eastAsia="Times New Roman" w:hAnsiTheme="majorBidi" w:cstheme="majorBidi"/>
          <w:b/>
          <w:bCs/>
          <w:sz w:val="24"/>
          <w:szCs w:val="24"/>
          <w:u w:val="single"/>
          <w:lang w:eastAsia="fr-FR"/>
        </w:rPr>
      </w:pPr>
      <w:r w:rsidRPr="00324A75">
        <w:rPr>
          <w:rFonts w:asciiTheme="majorBidi" w:eastAsia="Times New Roman" w:hAnsiTheme="majorBidi" w:cstheme="majorBidi"/>
          <w:b/>
          <w:bCs/>
          <w:sz w:val="24"/>
          <w:szCs w:val="24"/>
          <w:u w:val="single"/>
          <w:lang w:eastAsia="fr-FR"/>
        </w:rPr>
        <w:t>Les oligoéléments ou éléments mineurs</w:t>
      </w:r>
    </w:p>
    <w:p w:rsidR="00C90363" w:rsidRPr="00324A75" w:rsidRDefault="00C90363" w:rsidP="005B78D6">
      <w:p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Appelés ainsi car on les trouve à l’état de traces, et qu’ils représentent ensemble moins de 15 g de la masse corporelle totale, on en dénombre 15 au total, parmi lesquels figurent principalement : le </w:t>
      </w:r>
      <w:r w:rsidRPr="00324A75">
        <w:rPr>
          <w:rFonts w:asciiTheme="majorBidi" w:eastAsia="Times New Roman" w:hAnsiTheme="majorBidi" w:cstheme="majorBidi"/>
          <w:b/>
          <w:bCs/>
          <w:sz w:val="24"/>
          <w:szCs w:val="24"/>
          <w:lang w:eastAsia="fr-FR"/>
        </w:rPr>
        <w:t>fer</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zinc</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cuivre</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fluor</w:t>
      </w:r>
      <w:r w:rsidRPr="00324A75">
        <w:rPr>
          <w:rFonts w:asciiTheme="majorBidi" w:eastAsia="Times New Roman" w:hAnsiTheme="majorBidi" w:cstheme="majorBidi"/>
          <w:sz w:val="24"/>
          <w:szCs w:val="24"/>
          <w:lang w:eastAsia="fr-FR"/>
        </w:rPr>
        <w:t>, </w:t>
      </w:r>
      <w:r w:rsidRPr="00324A75">
        <w:rPr>
          <w:rFonts w:asciiTheme="majorBidi" w:eastAsia="Times New Roman" w:hAnsiTheme="majorBidi" w:cstheme="majorBidi"/>
          <w:b/>
          <w:bCs/>
          <w:sz w:val="24"/>
          <w:szCs w:val="24"/>
          <w:lang w:eastAsia="fr-FR"/>
        </w:rPr>
        <w:t>l’iode</w:t>
      </w:r>
      <w:r w:rsidRPr="00324A75">
        <w:rPr>
          <w:rFonts w:asciiTheme="majorBidi" w:eastAsia="Times New Roman" w:hAnsiTheme="majorBidi" w:cstheme="majorBidi"/>
          <w:sz w:val="24"/>
          <w:szCs w:val="24"/>
          <w:lang w:eastAsia="fr-FR"/>
        </w:rPr>
        <w:t>, le </w:t>
      </w:r>
      <w:r w:rsidRPr="00324A75">
        <w:rPr>
          <w:rFonts w:asciiTheme="majorBidi" w:eastAsia="Times New Roman" w:hAnsiTheme="majorBidi" w:cstheme="majorBidi"/>
          <w:b/>
          <w:bCs/>
          <w:sz w:val="24"/>
          <w:szCs w:val="24"/>
          <w:lang w:eastAsia="fr-FR"/>
        </w:rPr>
        <w:t>chrome</w:t>
      </w:r>
      <w:r w:rsidRPr="00324A75">
        <w:rPr>
          <w:rFonts w:asciiTheme="majorBidi" w:eastAsia="Times New Roman" w:hAnsiTheme="majorBidi" w:cstheme="majorBidi"/>
          <w:sz w:val="24"/>
          <w:szCs w:val="24"/>
          <w:lang w:eastAsia="fr-FR"/>
        </w:rPr>
        <w:t> et le </w:t>
      </w:r>
      <w:r w:rsidRPr="00324A75">
        <w:rPr>
          <w:rFonts w:asciiTheme="majorBidi" w:eastAsia="Times New Roman" w:hAnsiTheme="majorBidi" w:cstheme="majorBidi"/>
          <w:b/>
          <w:bCs/>
          <w:sz w:val="24"/>
          <w:szCs w:val="24"/>
          <w:lang w:eastAsia="fr-FR"/>
        </w:rPr>
        <w:t>sélénium</w:t>
      </w:r>
      <w:r w:rsidRPr="00324A75">
        <w:rPr>
          <w:rFonts w:asciiTheme="majorBidi" w:eastAsia="Times New Roman" w:hAnsiTheme="majorBidi" w:cstheme="majorBidi"/>
          <w:sz w:val="24"/>
          <w:szCs w:val="24"/>
          <w:lang w:eastAsia="fr-FR"/>
        </w:rPr>
        <w:t>.</w:t>
      </w:r>
    </w:p>
    <w:p w:rsidR="00E30E23" w:rsidRPr="00324A75" w:rsidRDefault="00E30E23" w:rsidP="005B78D6">
      <w:p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Parmi les sels minéraux indispensables au métabolisme du corps humain, on cite à titre d’exemple :</w:t>
      </w:r>
    </w:p>
    <w:p w:rsidR="00E30E23" w:rsidRPr="00324A75" w:rsidRDefault="00E30E23" w:rsidP="005B78D6">
      <w:pPr>
        <w:pStyle w:val="Paragraphedeliste"/>
        <w:numPr>
          <w:ilvl w:val="0"/>
          <w:numId w:val="4"/>
        </w:num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b/>
          <w:bCs/>
          <w:sz w:val="24"/>
          <w:szCs w:val="24"/>
          <w:lang w:eastAsia="fr-FR"/>
        </w:rPr>
        <w:t>Fer (Fe) :</w:t>
      </w:r>
      <w:r w:rsidRPr="00324A75">
        <w:rPr>
          <w:rFonts w:asciiTheme="majorBidi" w:eastAsia="Times New Roman" w:hAnsiTheme="majorBidi" w:cstheme="majorBidi"/>
          <w:sz w:val="24"/>
          <w:szCs w:val="24"/>
          <w:lang w:eastAsia="fr-FR"/>
        </w:rPr>
        <w:t xml:space="preserve"> il est de 2 types : fer </w:t>
      </w:r>
      <w:proofErr w:type="spellStart"/>
      <w:r w:rsidRPr="00324A75">
        <w:rPr>
          <w:rFonts w:asciiTheme="majorBidi" w:eastAsia="Times New Roman" w:hAnsiTheme="majorBidi" w:cstheme="majorBidi"/>
          <w:sz w:val="24"/>
          <w:szCs w:val="24"/>
          <w:lang w:eastAsia="fr-FR"/>
        </w:rPr>
        <w:t>héminique</w:t>
      </w:r>
      <w:proofErr w:type="spellEnd"/>
      <w:r w:rsidRPr="00324A75">
        <w:rPr>
          <w:rFonts w:asciiTheme="majorBidi" w:eastAsia="Times New Roman" w:hAnsiTheme="majorBidi" w:cstheme="majorBidi"/>
          <w:sz w:val="24"/>
          <w:szCs w:val="24"/>
          <w:lang w:eastAsia="fr-FR"/>
        </w:rPr>
        <w:t xml:space="preserve"> (d’origine animale) et fer non </w:t>
      </w:r>
      <w:proofErr w:type="spellStart"/>
      <w:r w:rsidRPr="00324A75">
        <w:rPr>
          <w:rFonts w:asciiTheme="majorBidi" w:eastAsia="Times New Roman" w:hAnsiTheme="majorBidi" w:cstheme="majorBidi"/>
          <w:sz w:val="24"/>
          <w:szCs w:val="24"/>
          <w:lang w:eastAsia="fr-FR"/>
        </w:rPr>
        <w:t>héminique</w:t>
      </w:r>
      <w:proofErr w:type="spellEnd"/>
      <w:r w:rsidRPr="00324A75">
        <w:rPr>
          <w:rFonts w:asciiTheme="majorBidi" w:eastAsia="Times New Roman" w:hAnsiTheme="majorBidi" w:cstheme="majorBidi"/>
          <w:sz w:val="24"/>
          <w:szCs w:val="24"/>
          <w:lang w:eastAsia="fr-FR"/>
        </w:rPr>
        <w:t xml:space="preserve"> (d’origine végétale). Il entre dans la composition de l’hémoglobine du globule rouge d’où l’anémie ferriprive en cas d’appor</w:t>
      </w:r>
      <w:r w:rsidR="00EF40C9" w:rsidRPr="00324A75">
        <w:rPr>
          <w:rFonts w:asciiTheme="majorBidi" w:eastAsia="Times New Roman" w:hAnsiTheme="majorBidi" w:cstheme="majorBidi"/>
          <w:sz w:val="24"/>
          <w:szCs w:val="24"/>
          <w:lang w:eastAsia="fr-FR"/>
        </w:rPr>
        <w:t>ts nutritionnels faibles en fer</w:t>
      </w:r>
      <w:r w:rsidRPr="00324A75">
        <w:rPr>
          <w:rFonts w:asciiTheme="majorBidi" w:eastAsia="Times New Roman" w:hAnsiTheme="majorBidi" w:cstheme="majorBidi"/>
          <w:sz w:val="24"/>
          <w:szCs w:val="24"/>
          <w:lang w:eastAsia="fr-FR"/>
        </w:rPr>
        <w:t xml:space="preserve">, il entre aussi dans la constitution de la myoglobine et entre dans plusieurs systèmes enzymatiques comme celui de la respiration cellulaire. Les produits d’origine animale comme les viandes, poisson, œufs et </w:t>
      </w:r>
      <w:proofErr w:type="spellStart"/>
      <w:r w:rsidRPr="00324A75">
        <w:rPr>
          <w:rFonts w:asciiTheme="majorBidi" w:eastAsia="Times New Roman" w:hAnsiTheme="majorBidi" w:cstheme="majorBidi"/>
          <w:sz w:val="24"/>
          <w:szCs w:val="24"/>
          <w:lang w:eastAsia="fr-FR"/>
        </w:rPr>
        <w:t>ovoproduits</w:t>
      </w:r>
      <w:proofErr w:type="spellEnd"/>
      <w:r w:rsidRPr="00324A75">
        <w:rPr>
          <w:rFonts w:asciiTheme="majorBidi" w:eastAsia="Times New Roman" w:hAnsiTheme="majorBidi" w:cstheme="majorBidi"/>
          <w:sz w:val="24"/>
          <w:szCs w:val="24"/>
          <w:lang w:eastAsia="fr-FR"/>
        </w:rPr>
        <w:t xml:space="preserve"> sont très riches en fer, on trouve aussi certains produits végétaux riches en fer comme les légumineuses, toutefois le fer d’origine animale est plus assimilable par le corps humain que celui d’origine végétale.</w:t>
      </w:r>
    </w:p>
    <w:p w:rsidR="00E30E23" w:rsidRPr="00324A75" w:rsidRDefault="005371F4" w:rsidP="005B78D6">
      <w:pPr>
        <w:pStyle w:val="Paragraphedeliste"/>
        <w:numPr>
          <w:ilvl w:val="0"/>
          <w:numId w:val="4"/>
        </w:num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b/>
          <w:bCs/>
          <w:sz w:val="24"/>
          <w:szCs w:val="24"/>
          <w:lang w:eastAsia="fr-FR"/>
        </w:rPr>
        <w:t>Iode (I)</w:t>
      </w:r>
      <w:r w:rsidR="00E30E23" w:rsidRPr="00324A75">
        <w:rPr>
          <w:rFonts w:asciiTheme="majorBidi" w:eastAsia="Times New Roman" w:hAnsiTheme="majorBidi" w:cstheme="majorBidi"/>
          <w:b/>
          <w:bCs/>
          <w:sz w:val="24"/>
          <w:szCs w:val="24"/>
          <w:lang w:eastAsia="fr-FR"/>
        </w:rPr>
        <w:t>:</w:t>
      </w:r>
      <w:r w:rsidR="00E30E23" w:rsidRPr="00324A75">
        <w:rPr>
          <w:rFonts w:asciiTheme="majorBidi" w:eastAsia="Times New Roman" w:hAnsiTheme="majorBidi" w:cstheme="majorBidi"/>
          <w:sz w:val="24"/>
          <w:szCs w:val="24"/>
          <w:lang w:eastAsia="fr-FR"/>
        </w:rPr>
        <w:t xml:space="preserve"> très important pour le développement mental et psychomoteur de l’individu. En cas de carence en iode, la personne est atteinte du goitre et d’un retard mental remarquable et perd ses capacités à prendre d’initiatives ou à être active dans la société. Ce problème de carence en iode est souvent présent dans les zones montagneuses où les produits de la mer (poissons et autres) sont rares et le sol est très pauvre en iode.</w:t>
      </w:r>
    </w:p>
    <w:p w:rsidR="00E30E23" w:rsidRPr="00324A75" w:rsidRDefault="00E30E23" w:rsidP="005B78D6">
      <w:pPr>
        <w:pStyle w:val="Paragraphedeliste"/>
        <w:numPr>
          <w:ilvl w:val="0"/>
          <w:numId w:val="4"/>
        </w:num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b/>
          <w:bCs/>
          <w:sz w:val="24"/>
          <w:szCs w:val="24"/>
          <w:lang w:eastAsia="fr-FR"/>
        </w:rPr>
        <w:t>Calcium (Ca) :</w:t>
      </w:r>
      <w:r w:rsidRPr="00324A75">
        <w:rPr>
          <w:rFonts w:asciiTheme="majorBidi" w:eastAsia="Times New Roman" w:hAnsiTheme="majorBidi" w:cstheme="majorBidi"/>
          <w:sz w:val="24"/>
          <w:szCs w:val="24"/>
          <w:lang w:eastAsia="fr-FR"/>
        </w:rPr>
        <w:t xml:space="preserve"> Le calcium participe à la structure et à la constitution des os et des dents, un apport faible en calcium peut donner lieu à des os fragiles et dents affaiblies. Les aliments les plus riches en calcium sont le lait et les fromages.</w:t>
      </w:r>
    </w:p>
    <w:p w:rsidR="00E30E23" w:rsidRPr="00324A75" w:rsidRDefault="00E30E23" w:rsidP="005B78D6">
      <w:pPr>
        <w:pStyle w:val="Paragraphedeliste"/>
        <w:numPr>
          <w:ilvl w:val="0"/>
          <w:numId w:val="4"/>
        </w:num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b/>
          <w:bCs/>
          <w:sz w:val="24"/>
          <w:szCs w:val="24"/>
          <w:lang w:eastAsia="fr-FR"/>
        </w:rPr>
        <w:t>Magnésium (Mg) :</w:t>
      </w:r>
      <w:r w:rsidRPr="00324A75">
        <w:rPr>
          <w:rFonts w:asciiTheme="majorBidi" w:eastAsia="Times New Roman" w:hAnsiTheme="majorBidi" w:cstheme="majorBidi"/>
          <w:sz w:val="24"/>
          <w:szCs w:val="24"/>
          <w:lang w:eastAsia="fr-FR"/>
        </w:rPr>
        <w:t xml:space="preserve"> Il contribue à la production d’énergie, la synthèse des protéines, la contraction musculaire et la transmission de l’influx nerveux. Un apport insuffisant en Mg peut provoquer des crampes musculaires. Parmi les produits riches en Mg on cite les légumes secs, chocolat, et les fruits secs (amandes, noix, noisettes, figues).</w:t>
      </w:r>
    </w:p>
    <w:p w:rsidR="00E30E23" w:rsidRPr="00324A75" w:rsidRDefault="00E30E23" w:rsidP="005B78D6">
      <w:pPr>
        <w:pStyle w:val="Paragraphedeliste"/>
        <w:numPr>
          <w:ilvl w:val="0"/>
          <w:numId w:val="4"/>
        </w:num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b/>
          <w:bCs/>
          <w:sz w:val="24"/>
          <w:szCs w:val="24"/>
          <w:lang w:eastAsia="fr-FR"/>
        </w:rPr>
        <w:t>Le phosphore (P)</w:t>
      </w:r>
      <w:r w:rsidRPr="00324A75">
        <w:rPr>
          <w:rFonts w:asciiTheme="majorBidi" w:eastAsia="Times New Roman" w:hAnsiTheme="majorBidi" w:cstheme="majorBidi"/>
          <w:sz w:val="24"/>
          <w:szCs w:val="24"/>
          <w:lang w:eastAsia="fr-FR"/>
        </w:rPr>
        <w:t xml:space="preserve"> est l’un des constituants de la membrane cellulaire ; il fournit à la cellule de l’énergie sous la forme d’</w:t>
      </w:r>
      <w:proofErr w:type="spellStart"/>
      <w:r w:rsidRPr="00324A75">
        <w:rPr>
          <w:rFonts w:asciiTheme="majorBidi" w:eastAsia="Times New Roman" w:hAnsiTheme="majorBidi" w:cstheme="majorBidi"/>
          <w:sz w:val="24"/>
          <w:szCs w:val="24"/>
          <w:lang w:eastAsia="fr-FR"/>
        </w:rPr>
        <w:t>adénoside</w:t>
      </w:r>
      <w:proofErr w:type="spellEnd"/>
      <w:r w:rsidRPr="00324A75">
        <w:rPr>
          <w:rFonts w:asciiTheme="majorBidi" w:eastAsia="Times New Roman" w:hAnsiTheme="majorBidi" w:cstheme="majorBidi"/>
          <w:sz w:val="24"/>
          <w:szCs w:val="24"/>
          <w:lang w:eastAsia="fr-FR"/>
        </w:rPr>
        <w:t>-triphosphate (ATP). Le lait, les fromages, les fruits secs, les viandes, les légumes secs, le poisson et les œufs sont des produits riches en P.</w:t>
      </w:r>
    </w:p>
    <w:p w:rsidR="00E30E23" w:rsidRPr="00324A75" w:rsidRDefault="00E30E23" w:rsidP="005B78D6">
      <w:pPr>
        <w:pStyle w:val="Paragraphedeliste"/>
        <w:numPr>
          <w:ilvl w:val="0"/>
          <w:numId w:val="4"/>
        </w:numPr>
        <w:jc w:val="both"/>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b/>
          <w:bCs/>
          <w:sz w:val="24"/>
          <w:szCs w:val="24"/>
          <w:lang w:eastAsia="fr-FR"/>
        </w:rPr>
        <w:lastRenderedPageBreak/>
        <w:t>Le potassium (K)</w:t>
      </w:r>
      <w:r w:rsidRPr="00324A75">
        <w:rPr>
          <w:rFonts w:asciiTheme="majorBidi" w:eastAsia="Times New Roman" w:hAnsiTheme="majorBidi" w:cstheme="majorBidi"/>
          <w:sz w:val="24"/>
          <w:szCs w:val="24"/>
          <w:lang w:eastAsia="fr-FR"/>
        </w:rPr>
        <w:t> du corps a une action sur le rythme cardiaque et la teneur en eau de l’organisme en participant à équilibrer la pompe potassium-sodium. On le trouve dans les bananes, pommes de terre, poissons, abricots, etc.</w:t>
      </w:r>
    </w:p>
    <w:p w:rsidR="00B85F14" w:rsidRPr="00324A75" w:rsidRDefault="00B85F14" w:rsidP="00B85F14">
      <w:pPr>
        <w:jc w:val="both"/>
        <w:textAlignment w:val="baseline"/>
        <w:rPr>
          <w:rFonts w:asciiTheme="majorBidi" w:hAnsiTheme="majorBidi" w:cstheme="majorBidi"/>
          <w:b/>
          <w:bCs/>
          <w:sz w:val="24"/>
          <w:szCs w:val="24"/>
          <w:u w:val="single"/>
        </w:rPr>
      </w:pPr>
      <w:r w:rsidRPr="00324A75">
        <w:rPr>
          <w:rFonts w:asciiTheme="majorBidi" w:hAnsiTheme="majorBidi" w:cstheme="majorBidi"/>
          <w:b/>
          <w:bCs/>
          <w:sz w:val="24"/>
          <w:szCs w:val="24"/>
          <w:u w:val="single"/>
        </w:rPr>
        <w:t>Tableau</w:t>
      </w:r>
      <w:r w:rsidR="00324A75">
        <w:rPr>
          <w:rFonts w:asciiTheme="majorBidi" w:hAnsiTheme="majorBidi" w:cstheme="majorBidi"/>
          <w:b/>
          <w:bCs/>
          <w:sz w:val="24"/>
          <w:szCs w:val="24"/>
          <w:u w:val="single"/>
        </w:rPr>
        <w:t xml:space="preserve"> 03 :</w:t>
      </w:r>
      <w:r w:rsidRPr="00324A75">
        <w:rPr>
          <w:rFonts w:asciiTheme="majorBidi" w:hAnsiTheme="majorBidi" w:cstheme="majorBidi"/>
          <w:b/>
          <w:bCs/>
          <w:sz w:val="24"/>
          <w:szCs w:val="24"/>
          <w:u w:val="single"/>
        </w:rPr>
        <w:t xml:space="preserve"> valeurs nutritionnelles de référence-Besoin (VNR-B) (journal officiel)</w:t>
      </w:r>
    </w:p>
    <w:tbl>
      <w:tblPr>
        <w:tblStyle w:val="Grilledutableau"/>
        <w:tblW w:w="0" w:type="auto"/>
        <w:tblLook w:val="04A0"/>
      </w:tblPr>
      <w:tblGrid>
        <w:gridCol w:w="3070"/>
        <w:gridCol w:w="3071"/>
        <w:gridCol w:w="3071"/>
      </w:tblGrid>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b/>
                <w:bCs/>
                <w:sz w:val="24"/>
                <w:szCs w:val="24"/>
                <w:lang w:eastAsia="fr-FR"/>
              </w:rPr>
            </w:pPr>
            <w:r w:rsidRPr="00324A75">
              <w:rPr>
                <w:rFonts w:asciiTheme="majorBidi" w:hAnsiTheme="majorBidi" w:cstheme="majorBidi"/>
                <w:b/>
                <w:bCs/>
                <w:sz w:val="24"/>
                <w:szCs w:val="24"/>
              </w:rPr>
              <w:t xml:space="preserve">Elément nutritif </w:t>
            </w:r>
          </w:p>
        </w:tc>
        <w:tc>
          <w:tcPr>
            <w:tcW w:w="3071" w:type="dxa"/>
          </w:tcPr>
          <w:p w:rsidR="00B85F14" w:rsidRPr="00324A75" w:rsidRDefault="00B85F14" w:rsidP="00B85F14">
            <w:pPr>
              <w:jc w:val="both"/>
              <w:textAlignment w:val="baseline"/>
              <w:rPr>
                <w:rFonts w:asciiTheme="majorBidi" w:eastAsia="Times New Roman" w:hAnsiTheme="majorBidi" w:cstheme="majorBidi"/>
                <w:b/>
                <w:bCs/>
                <w:sz w:val="24"/>
                <w:szCs w:val="24"/>
                <w:lang w:eastAsia="fr-FR"/>
              </w:rPr>
            </w:pPr>
            <w:r w:rsidRPr="00324A75">
              <w:rPr>
                <w:rFonts w:asciiTheme="majorBidi" w:hAnsiTheme="majorBidi" w:cstheme="majorBidi"/>
                <w:b/>
                <w:bCs/>
                <w:sz w:val="24"/>
                <w:szCs w:val="24"/>
              </w:rPr>
              <w:t>Unité</w:t>
            </w:r>
          </w:p>
        </w:tc>
        <w:tc>
          <w:tcPr>
            <w:tcW w:w="3071" w:type="dxa"/>
          </w:tcPr>
          <w:p w:rsidR="00B85F14" w:rsidRPr="00324A75" w:rsidRDefault="00B85F14" w:rsidP="00B85F14">
            <w:pPr>
              <w:jc w:val="both"/>
              <w:textAlignment w:val="baseline"/>
              <w:rPr>
                <w:rFonts w:asciiTheme="majorBidi" w:eastAsia="Times New Roman" w:hAnsiTheme="majorBidi" w:cstheme="majorBidi"/>
                <w:b/>
                <w:bCs/>
                <w:sz w:val="24"/>
                <w:szCs w:val="24"/>
                <w:lang w:eastAsia="fr-FR"/>
              </w:rPr>
            </w:pPr>
            <w:r w:rsidRPr="00324A75">
              <w:rPr>
                <w:rFonts w:asciiTheme="majorBidi" w:hAnsiTheme="majorBidi" w:cstheme="majorBidi"/>
                <w:b/>
                <w:bCs/>
                <w:sz w:val="24"/>
                <w:szCs w:val="24"/>
              </w:rPr>
              <w:t>Apport journalier de référence (AJR)</w:t>
            </w:r>
          </w:p>
        </w:tc>
      </w:tr>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sz w:val="24"/>
                <w:szCs w:val="24"/>
                <w:lang w:eastAsia="fr-FR"/>
              </w:rPr>
            </w:pPr>
            <w:r w:rsidRPr="00324A75">
              <w:rPr>
                <w:rFonts w:asciiTheme="majorBidi" w:hAnsiTheme="majorBidi" w:cstheme="majorBidi"/>
                <w:sz w:val="24"/>
                <w:szCs w:val="24"/>
              </w:rPr>
              <w:t xml:space="preserve">Calcium </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1000</w:t>
            </w:r>
          </w:p>
        </w:tc>
      </w:tr>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sz w:val="24"/>
                <w:szCs w:val="24"/>
                <w:lang w:eastAsia="fr-FR"/>
              </w:rPr>
            </w:pPr>
            <w:r w:rsidRPr="00324A75">
              <w:rPr>
                <w:rFonts w:asciiTheme="majorBidi" w:hAnsiTheme="majorBidi" w:cstheme="majorBidi"/>
                <w:sz w:val="24"/>
                <w:szCs w:val="24"/>
              </w:rPr>
              <w:t>Magnésium</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310</w:t>
            </w:r>
          </w:p>
        </w:tc>
      </w:tr>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sz w:val="24"/>
                <w:szCs w:val="24"/>
                <w:lang w:eastAsia="fr-FR"/>
              </w:rPr>
            </w:pPr>
            <w:r w:rsidRPr="00324A75">
              <w:rPr>
                <w:rFonts w:asciiTheme="majorBidi" w:hAnsiTheme="majorBidi" w:cstheme="majorBidi"/>
                <w:sz w:val="24"/>
                <w:szCs w:val="24"/>
              </w:rPr>
              <w:t>Potassium</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2000</w:t>
            </w:r>
          </w:p>
        </w:tc>
      </w:tr>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sz w:val="24"/>
                <w:szCs w:val="24"/>
                <w:lang w:eastAsia="fr-FR"/>
              </w:rPr>
            </w:pPr>
            <w:r w:rsidRPr="00324A75">
              <w:rPr>
                <w:rFonts w:asciiTheme="majorBidi" w:hAnsiTheme="majorBidi" w:cstheme="majorBidi"/>
                <w:sz w:val="24"/>
                <w:szCs w:val="24"/>
              </w:rPr>
              <w:t>Phosphore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700</w:t>
            </w:r>
          </w:p>
        </w:tc>
      </w:tr>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sz w:val="24"/>
                <w:szCs w:val="24"/>
                <w:lang w:eastAsia="fr-FR"/>
              </w:rPr>
            </w:pPr>
            <w:r w:rsidRPr="00324A75">
              <w:rPr>
                <w:rFonts w:asciiTheme="majorBidi" w:hAnsiTheme="majorBidi" w:cstheme="majorBidi"/>
                <w:sz w:val="24"/>
                <w:szCs w:val="24"/>
              </w:rPr>
              <w:t>Chlorure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800</w:t>
            </w:r>
          </w:p>
        </w:tc>
      </w:tr>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sz w:val="24"/>
                <w:szCs w:val="24"/>
                <w:lang w:eastAsia="fr-FR"/>
              </w:rPr>
            </w:pPr>
            <w:r w:rsidRPr="00324A75">
              <w:rPr>
                <w:rFonts w:asciiTheme="majorBidi" w:hAnsiTheme="majorBidi" w:cstheme="majorBidi"/>
                <w:sz w:val="24"/>
                <w:szCs w:val="24"/>
              </w:rPr>
              <w:t>Fluorure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3,5</w:t>
            </w:r>
          </w:p>
        </w:tc>
      </w:tr>
      <w:tr w:rsidR="00B85F14" w:rsidRPr="00324A75" w:rsidTr="00B85F14">
        <w:tc>
          <w:tcPr>
            <w:tcW w:w="3070" w:type="dxa"/>
          </w:tcPr>
          <w:p w:rsidR="00B85F14" w:rsidRPr="00324A75" w:rsidRDefault="00B85F14" w:rsidP="00B85F14">
            <w:pPr>
              <w:jc w:val="both"/>
              <w:textAlignment w:val="baseline"/>
              <w:rPr>
                <w:rFonts w:asciiTheme="majorBidi" w:eastAsia="Times New Roman" w:hAnsiTheme="majorBidi" w:cstheme="majorBidi"/>
                <w:sz w:val="24"/>
                <w:szCs w:val="24"/>
                <w:lang w:eastAsia="fr-FR"/>
              </w:rPr>
            </w:pPr>
            <w:r w:rsidRPr="00324A75">
              <w:rPr>
                <w:rFonts w:asciiTheme="majorBidi" w:hAnsiTheme="majorBidi" w:cstheme="majorBidi"/>
                <w:sz w:val="24"/>
                <w:szCs w:val="24"/>
              </w:rPr>
              <w:t>Fer</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22</w:t>
            </w:r>
          </w:p>
        </w:tc>
      </w:tr>
      <w:tr w:rsidR="00B85F14" w:rsidRPr="00324A75" w:rsidTr="00B85F14">
        <w:tc>
          <w:tcPr>
            <w:tcW w:w="3070" w:type="dxa"/>
          </w:tcPr>
          <w:p w:rsidR="00B85F14" w:rsidRPr="00324A75" w:rsidRDefault="00B85F14" w:rsidP="00B85F14">
            <w:pPr>
              <w:jc w:val="both"/>
              <w:textAlignment w:val="baseline"/>
              <w:rPr>
                <w:rFonts w:asciiTheme="majorBidi" w:hAnsiTheme="majorBidi" w:cstheme="majorBidi"/>
                <w:sz w:val="24"/>
                <w:szCs w:val="24"/>
              </w:rPr>
            </w:pPr>
            <w:r w:rsidRPr="00324A75">
              <w:rPr>
                <w:rFonts w:asciiTheme="majorBidi" w:hAnsiTheme="majorBidi" w:cstheme="majorBidi"/>
                <w:sz w:val="24"/>
                <w:szCs w:val="24"/>
              </w:rPr>
              <w:t>Zinc</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mg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14</w:t>
            </w:r>
          </w:p>
        </w:tc>
      </w:tr>
      <w:tr w:rsidR="00B85F14" w:rsidRPr="00324A75" w:rsidTr="00B85F14">
        <w:tc>
          <w:tcPr>
            <w:tcW w:w="3070" w:type="dxa"/>
          </w:tcPr>
          <w:p w:rsidR="00B85F14" w:rsidRPr="00324A75" w:rsidRDefault="00B85F14" w:rsidP="00B85F14">
            <w:pPr>
              <w:jc w:val="both"/>
              <w:textAlignment w:val="baseline"/>
              <w:rPr>
                <w:rFonts w:asciiTheme="majorBidi" w:hAnsiTheme="majorBidi" w:cstheme="majorBidi"/>
                <w:sz w:val="24"/>
                <w:szCs w:val="24"/>
              </w:rPr>
            </w:pPr>
            <w:r w:rsidRPr="00324A75">
              <w:rPr>
                <w:rFonts w:asciiTheme="majorBidi" w:hAnsiTheme="majorBidi" w:cstheme="majorBidi"/>
                <w:sz w:val="24"/>
                <w:szCs w:val="24"/>
              </w:rPr>
              <w:t>Chrome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µg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40</w:t>
            </w:r>
          </w:p>
        </w:tc>
      </w:tr>
      <w:tr w:rsidR="00B85F14" w:rsidRPr="00324A75" w:rsidTr="00B85F14">
        <w:tc>
          <w:tcPr>
            <w:tcW w:w="3070" w:type="dxa"/>
          </w:tcPr>
          <w:p w:rsidR="00B85F14" w:rsidRPr="00324A75" w:rsidRDefault="00B85F14" w:rsidP="00B85F14">
            <w:pPr>
              <w:jc w:val="both"/>
              <w:textAlignment w:val="baseline"/>
              <w:rPr>
                <w:rFonts w:asciiTheme="majorBidi" w:hAnsiTheme="majorBidi" w:cstheme="majorBidi"/>
                <w:sz w:val="24"/>
                <w:szCs w:val="24"/>
              </w:rPr>
            </w:pPr>
            <w:r w:rsidRPr="00324A75">
              <w:rPr>
                <w:rFonts w:asciiTheme="majorBidi" w:hAnsiTheme="majorBidi" w:cstheme="majorBidi"/>
                <w:sz w:val="24"/>
                <w:szCs w:val="24"/>
              </w:rPr>
              <w:t>Iode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µg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150</w:t>
            </w:r>
          </w:p>
        </w:tc>
      </w:tr>
      <w:tr w:rsidR="00B85F14" w:rsidRPr="00324A75" w:rsidTr="00B85F14">
        <w:tc>
          <w:tcPr>
            <w:tcW w:w="3070" w:type="dxa"/>
          </w:tcPr>
          <w:p w:rsidR="00B85F14" w:rsidRPr="00324A75" w:rsidRDefault="00B85F14" w:rsidP="00B85F14">
            <w:pPr>
              <w:jc w:val="both"/>
              <w:textAlignment w:val="baseline"/>
              <w:rPr>
                <w:rFonts w:asciiTheme="majorBidi" w:hAnsiTheme="majorBidi" w:cstheme="majorBidi"/>
                <w:sz w:val="24"/>
                <w:szCs w:val="24"/>
              </w:rPr>
            </w:pPr>
            <w:r w:rsidRPr="00324A75">
              <w:rPr>
                <w:rFonts w:asciiTheme="majorBidi" w:hAnsiTheme="majorBidi" w:cstheme="majorBidi"/>
                <w:sz w:val="24"/>
                <w:szCs w:val="24"/>
              </w:rPr>
              <w:t>Cuivre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µg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900</w:t>
            </w:r>
          </w:p>
        </w:tc>
      </w:tr>
      <w:tr w:rsidR="00B85F14" w:rsidRPr="00324A75" w:rsidTr="00B85F14">
        <w:tc>
          <w:tcPr>
            <w:tcW w:w="3070" w:type="dxa"/>
          </w:tcPr>
          <w:p w:rsidR="00B85F14" w:rsidRPr="00324A75" w:rsidRDefault="00B85F14" w:rsidP="00B85F14">
            <w:pPr>
              <w:jc w:val="both"/>
              <w:textAlignment w:val="baseline"/>
              <w:rPr>
                <w:rFonts w:asciiTheme="majorBidi" w:hAnsiTheme="majorBidi" w:cstheme="majorBidi"/>
                <w:sz w:val="24"/>
                <w:szCs w:val="24"/>
              </w:rPr>
            </w:pPr>
            <w:r w:rsidRPr="00324A75">
              <w:rPr>
                <w:rFonts w:asciiTheme="majorBidi" w:hAnsiTheme="majorBidi" w:cstheme="majorBidi"/>
                <w:sz w:val="24"/>
                <w:szCs w:val="24"/>
              </w:rPr>
              <w:t>Sélénium</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µg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60</w:t>
            </w:r>
          </w:p>
        </w:tc>
      </w:tr>
      <w:tr w:rsidR="00B85F14" w:rsidRPr="00324A75" w:rsidTr="00B85F14">
        <w:tc>
          <w:tcPr>
            <w:tcW w:w="3070" w:type="dxa"/>
          </w:tcPr>
          <w:p w:rsidR="00B85F14" w:rsidRPr="00324A75" w:rsidRDefault="00B85F14" w:rsidP="00B85F14">
            <w:pPr>
              <w:jc w:val="both"/>
              <w:textAlignment w:val="baseline"/>
              <w:rPr>
                <w:rFonts w:asciiTheme="majorBidi" w:hAnsiTheme="majorBidi" w:cstheme="majorBidi"/>
                <w:sz w:val="24"/>
                <w:szCs w:val="24"/>
              </w:rPr>
            </w:pPr>
            <w:r w:rsidRPr="00324A75">
              <w:rPr>
                <w:rFonts w:asciiTheme="majorBidi" w:hAnsiTheme="majorBidi" w:cstheme="majorBidi"/>
                <w:sz w:val="24"/>
                <w:szCs w:val="24"/>
              </w:rPr>
              <w:t>Manganèse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µg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3</w:t>
            </w:r>
          </w:p>
        </w:tc>
      </w:tr>
      <w:tr w:rsidR="00B85F14" w:rsidRPr="00324A75" w:rsidTr="00B85F14">
        <w:tc>
          <w:tcPr>
            <w:tcW w:w="3070" w:type="dxa"/>
          </w:tcPr>
          <w:p w:rsidR="00B85F14" w:rsidRPr="00324A75" w:rsidRDefault="00B85F14" w:rsidP="00B85F14">
            <w:pPr>
              <w:jc w:val="both"/>
              <w:textAlignment w:val="baseline"/>
              <w:rPr>
                <w:rFonts w:asciiTheme="majorBidi" w:hAnsiTheme="majorBidi" w:cstheme="majorBidi"/>
                <w:sz w:val="24"/>
                <w:szCs w:val="24"/>
              </w:rPr>
            </w:pPr>
            <w:r w:rsidRPr="00324A75">
              <w:rPr>
                <w:rFonts w:asciiTheme="majorBidi" w:hAnsiTheme="majorBidi" w:cstheme="majorBidi"/>
                <w:sz w:val="24"/>
                <w:szCs w:val="24"/>
              </w:rPr>
              <w:t>Molybdène</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µg</w:t>
            </w:r>
          </w:p>
        </w:tc>
        <w:tc>
          <w:tcPr>
            <w:tcW w:w="3071" w:type="dxa"/>
          </w:tcPr>
          <w:p w:rsidR="00B85F14" w:rsidRPr="00324A75" w:rsidRDefault="00B85F14" w:rsidP="00B85F14">
            <w:pPr>
              <w:jc w:val="center"/>
              <w:textAlignment w:val="baseline"/>
              <w:rPr>
                <w:rFonts w:asciiTheme="majorBidi" w:eastAsia="Times New Roman" w:hAnsiTheme="majorBidi" w:cstheme="majorBidi"/>
                <w:sz w:val="24"/>
                <w:szCs w:val="24"/>
                <w:lang w:eastAsia="fr-FR"/>
              </w:rPr>
            </w:pPr>
            <w:r w:rsidRPr="00324A75">
              <w:rPr>
                <w:rFonts w:asciiTheme="majorBidi" w:eastAsia="Times New Roman" w:hAnsiTheme="majorBidi" w:cstheme="majorBidi"/>
                <w:sz w:val="24"/>
                <w:szCs w:val="24"/>
                <w:lang w:eastAsia="fr-FR"/>
              </w:rPr>
              <w:t>45</w:t>
            </w:r>
          </w:p>
        </w:tc>
      </w:tr>
    </w:tbl>
    <w:p w:rsidR="00B85F14" w:rsidRPr="00324A75" w:rsidRDefault="00B85F14" w:rsidP="00B85F14">
      <w:pPr>
        <w:jc w:val="both"/>
        <w:textAlignment w:val="baseline"/>
        <w:rPr>
          <w:rFonts w:asciiTheme="majorBidi" w:eastAsia="Times New Roman" w:hAnsiTheme="majorBidi" w:cstheme="majorBidi"/>
          <w:sz w:val="24"/>
          <w:szCs w:val="24"/>
          <w:lang w:eastAsia="fr-FR"/>
        </w:rPr>
      </w:pPr>
    </w:p>
    <w:p w:rsidR="00AB6C6B" w:rsidRPr="00324A75" w:rsidRDefault="0007181E" w:rsidP="005B78D6">
      <w:pPr>
        <w:autoSpaceDE w:val="0"/>
        <w:autoSpaceDN w:val="0"/>
        <w:adjustRightInd w:val="0"/>
        <w:spacing w:after="0"/>
        <w:jc w:val="both"/>
        <w:rPr>
          <w:rFonts w:asciiTheme="majorBidi" w:hAnsiTheme="majorBidi" w:cstheme="majorBidi"/>
          <w:b/>
          <w:bCs/>
          <w:sz w:val="24"/>
          <w:szCs w:val="24"/>
        </w:rPr>
      </w:pPr>
      <w:r w:rsidRPr="00324A75">
        <w:rPr>
          <w:rFonts w:asciiTheme="majorBidi" w:hAnsiTheme="majorBidi" w:cstheme="majorBidi"/>
          <w:b/>
          <w:bCs/>
          <w:sz w:val="24"/>
          <w:szCs w:val="24"/>
        </w:rPr>
        <w:t xml:space="preserve">2. </w:t>
      </w:r>
      <w:r w:rsidR="00AB6C6B" w:rsidRPr="00324A75">
        <w:rPr>
          <w:rFonts w:asciiTheme="majorBidi" w:hAnsiTheme="majorBidi" w:cstheme="majorBidi"/>
          <w:b/>
          <w:bCs/>
          <w:sz w:val="24"/>
          <w:szCs w:val="24"/>
        </w:rPr>
        <w:t>Dosage des matières minérales totales  par incinération</w:t>
      </w:r>
    </w:p>
    <w:p w:rsidR="00AB6C6B" w:rsidRPr="00324A75" w:rsidRDefault="00AB6C6B" w:rsidP="005B78D6">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La teneur en</w:t>
      </w:r>
      <w:r w:rsidRPr="00324A75">
        <w:rPr>
          <w:rFonts w:asciiTheme="majorBidi" w:hAnsiTheme="majorBidi" w:cstheme="majorBidi"/>
          <w:b/>
          <w:bCs/>
          <w:sz w:val="24"/>
          <w:szCs w:val="24"/>
        </w:rPr>
        <w:t xml:space="preserve"> </w:t>
      </w:r>
      <w:r w:rsidRPr="00324A75">
        <w:rPr>
          <w:rFonts w:asciiTheme="majorBidi" w:hAnsiTheme="majorBidi" w:cstheme="majorBidi"/>
          <w:sz w:val="24"/>
          <w:szCs w:val="24"/>
        </w:rPr>
        <w:t>matières minérales totales</w:t>
      </w:r>
      <w:r w:rsidRPr="00324A75">
        <w:rPr>
          <w:rFonts w:asciiTheme="majorBidi" w:hAnsiTheme="majorBidi" w:cstheme="majorBidi"/>
          <w:b/>
          <w:bCs/>
          <w:sz w:val="24"/>
          <w:szCs w:val="24"/>
        </w:rPr>
        <w:t xml:space="preserve"> </w:t>
      </w:r>
      <w:r w:rsidRPr="00324A75">
        <w:rPr>
          <w:rFonts w:asciiTheme="majorBidi" w:hAnsiTheme="majorBidi" w:cstheme="majorBidi"/>
          <w:sz w:val="24"/>
          <w:szCs w:val="24"/>
        </w:rPr>
        <w:t xml:space="preserve"> d'une denrée s'obtient par incinération (ou combustion com</w:t>
      </w:r>
      <w:r w:rsidR="00E80C66" w:rsidRPr="00324A75">
        <w:rPr>
          <w:rFonts w:asciiTheme="majorBidi" w:hAnsiTheme="majorBidi" w:cstheme="majorBidi"/>
          <w:sz w:val="24"/>
          <w:szCs w:val="24"/>
        </w:rPr>
        <w:t>plète) dans un four à 550°</w:t>
      </w:r>
      <w:r w:rsidRPr="00324A75">
        <w:rPr>
          <w:rFonts w:asciiTheme="majorBidi" w:hAnsiTheme="majorBidi" w:cstheme="majorBidi"/>
          <w:sz w:val="24"/>
          <w:szCs w:val="24"/>
        </w:rPr>
        <w:t>C</w:t>
      </w:r>
      <w:r w:rsidR="00E80C66" w:rsidRPr="00324A75">
        <w:rPr>
          <w:rFonts w:asciiTheme="majorBidi" w:hAnsiTheme="majorBidi" w:cstheme="majorBidi"/>
          <w:sz w:val="24"/>
          <w:szCs w:val="24"/>
        </w:rPr>
        <w:t xml:space="preserve"> pendant 2 heures</w:t>
      </w:r>
      <w:r w:rsidRPr="00324A75">
        <w:rPr>
          <w:rFonts w:asciiTheme="majorBidi" w:hAnsiTheme="majorBidi" w:cstheme="majorBidi"/>
          <w:sz w:val="24"/>
          <w:szCs w:val="24"/>
        </w:rPr>
        <w:t xml:space="preserve">. </w:t>
      </w:r>
    </w:p>
    <w:p w:rsidR="00AB6C6B" w:rsidRPr="00324A75" w:rsidRDefault="00AB6C6B" w:rsidP="005B78D6">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Toutefois, la teneur en cendres ne correspond pas exactement à la teneur en matières minérales de la denrée (pertes de substances par volatilisation ou augmentation sensible de poids par formation de carbonates ou d'oxydes).</w:t>
      </w:r>
    </w:p>
    <w:p w:rsidR="00AB6C6B" w:rsidRPr="00324A75" w:rsidRDefault="00AB6C6B" w:rsidP="005B78D6">
      <w:pPr>
        <w:autoSpaceDE w:val="0"/>
        <w:autoSpaceDN w:val="0"/>
        <w:adjustRightInd w:val="0"/>
        <w:spacing w:after="0"/>
        <w:jc w:val="both"/>
        <w:rPr>
          <w:rFonts w:asciiTheme="majorBidi" w:hAnsiTheme="majorBidi" w:cstheme="majorBidi"/>
          <w:b/>
          <w:bCs/>
          <w:sz w:val="24"/>
          <w:szCs w:val="24"/>
        </w:rPr>
      </w:pPr>
      <w:r w:rsidRPr="00324A75">
        <w:rPr>
          <w:rFonts w:asciiTheme="majorBidi" w:hAnsiTheme="majorBidi" w:cstheme="majorBidi"/>
          <w:b/>
          <w:bCs/>
          <w:sz w:val="24"/>
          <w:szCs w:val="24"/>
        </w:rPr>
        <w:t>Exemples :</w:t>
      </w:r>
    </w:p>
    <w:p w:rsidR="00AB6C6B" w:rsidRPr="00324A75" w:rsidRDefault="00AB6C6B" w:rsidP="005B78D6">
      <w:pPr>
        <w:pStyle w:val="Paragraphedeliste"/>
        <w:numPr>
          <w:ilvl w:val="0"/>
          <w:numId w:val="3"/>
        </w:num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Blé : matières minérales 2.16 %</w:t>
      </w:r>
      <w:r w:rsidR="0007181E" w:rsidRPr="00324A75">
        <w:rPr>
          <w:rFonts w:asciiTheme="majorBidi" w:hAnsiTheme="majorBidi" w:cstheme="majorBidi"/>
          <w:sz w:val="24"/>
          <w:szCs w:val="24"/>
        </w:rPr>
        <w:t xml:space="preserve">, </w:t>
      </w:r>
      <w:r w:rsidRPr="00324A75">
        <w:rPr>
          <w:rFonts w:asciiTheme="majorBidi" w:hAnsiTheme="majorBidi" w:cstheme="majorBidi"/>
          <w:sz w:val="24"/>
          <w:szCs w:val="24"/>
        </w:rPr>
        <w:t>cendres 1.90 % pertes de S, Cl, ...</w:t>
      </w:r>
    </w:p>
    <w:p w:rsidR="00AB6C6B" w:rsidRPr="00324A75" w:rsidRDefault="00AB6C6B" w:rsidP="005B78D6">
      <w:pPr>
        <w:pStyle w:val="Paragraphedeliste"/>
        <w:numPr>
          <w:ilvl w:val="0"/>
          <w:numId w:val="3"/>
        </w:num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Lait : matières minérales 0.69 %</w:t>
      </w:r>
      <w:r w:rsidR="0007181E" w:rsidRPr="00324A75">
        <w:rPr>
          <w:rFonts w:asciiTheme="majorBidi" w:hAnsiTheme="majorBidi" w:cstheme="majorBidi"/>
          <w:sz w:val="24"/>
          <w:szCs w:val="24"/>
        </w:rPr>
        <w:t>,</w:t>
      </w:r>
      <w:r w:rsidRPr="00324A75">
        <w:rPr>
          <w:rFonts w:asciiTheme="majorBidi" w:hAnsiTheme="majorBidi" w:cstheme="majorBidi"/>
          <w:sz w:val="24"/>
          <w:szCs w:val="24"/>
        </w:rPr>
        <w:t xml:space="preserve"> cendres 0.80 % augmentation due à la formation de carbonates</w:t>
      </w:r>
    </w:p>
    <w:p w:rsidR="00AB6C6B" w:rsidRPr="00324A75" w:rsidRDefault="00AB6C6B" w:rsidP="005B78D6">
      <w:pPr>
        <w:pStyle w:val="Paragraphedeliste"/>
        <w:numPr>
          <w:ilvl w:val="0"/>
          <w:numId w:val="3"/>
        </w:num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jus de pommes:</w:t>
      </w:r>
      <w:r w:rsidR="00453335" w:rsidRPr="00324A75">
        <w:rPr>
          <w:rFonts w:asciiTheme="majorBidi" w:hAnsiTheme="majorBidi" w:cstheme="majorBidi"/>
          <w:sz w:val="24"/>
          <w:szCs w:val="24"/>
        </w:rPr>
        <w:t xml:space="preserve"> </w:t>
      </w:r>
      <w:r w:rsidR="0007181E" w:rsidRPr="00324A75">
        <w:rPr>
          <w:rFonts w:asciiTheme="majorBidi" w:hAnsiTheme="majorBidi" w:cstheme="majorBidi"/>
          <w:sz w:val="24"/>
          <w:szCs w:val="24"/>
        </w:rPr>
        <w:t xml:space="preserve">matières minérales 0,17 %, </w:t>
      </w:r>
      <w:r w:rsidRPr="00324A75">
        <w:rPr>
          <w:rFonts w:asciiTheme="majorBidi" w:hAnsiTheme="majorBidi" w:cstheme="majorBidi"/>
          <w:sz w:val="24"/>
          <w:szCs w:val="24"/>
        </w:rPr>
        <w:t>cendres 0,25 % idem lait</w:t>
      </w:r>
    </w:p>
    <w:p w:rsidR="00502BCC" w:rsidRPr="00324A75" w:rsidRDefault="00502BCC" w:rsidP="005B78D6">
      <w:pPr>
        <w:spacing w:after="0"/>
        <w:jc w:val="both"/>
        <w:textAlignment w:val="baseline"/>
        <w:rPr>
          <w:rFonts w:asciiTheme="majorBidi" w:eastAsia="Times New Roman" w:hAnsiTheme="majorBidi" w:cstheme="majorBidi"/>
          <w:sz w:val="24"/>
          <w:szCs w:val="24"/>
          <w:lang w:eastAsia="fr-FR"/>
        </w:rPr>
      </w:pPr>
    </w:p>
    <w:p w:rsidR="00C90363" w:rsidRPr="00324A75" w:rsidRDefault="00E80C66" w:rsidP="005B78D6">
      <w:pPr>
        <w:pStyle w:val="NormalWeb"/>
        <w:shd w:val="clear" w:color="auto" w:fill="FFFFFF"/>
        <w:spacing w:before="0" w:beforeAutospacing="0" w:after="0" w:afterAutospacing="0" w:line="276" w:lineRule="auto"/>
        <w:jc w:val="both"/>
        <w:textAlignment w:val="baseline"/>
        <w:rPr>
          <w:rFonts w:asciiTheme="majorBidi" w:hAnsiTheme="majorBidi" w:cstheme="majorBidi"/>
          <w:b/>
          <w:bCs/>
        </w:rPr>
      </w:pPr>
      <w:r w:rsidRPr="00324A75">
        <w:rPr>
          <w:rFonts w:asciiTheme="majorBidi" w:hAnsiTheme="majorBidi" w:cstheme="majorBidi"/>
          <w:b/>
          <w:bCs/>
        </w:rPr>
        <w:t>2.1 Principe :</w:t>
      </w:r>
    </w:p>
    <w:p w:rsidR="00B5063C" w:rsidRPr="00324A75" w:rsidRDefault="00E8432B" w:rsidP="00324A75">
      <w:pPr>
        <w:pStyle w:val="NormalWeb"/>
        <w:shd w:val="clear" w:color="auto" w:fill="FFFFFF"/>
        <w:spacing w:before="0" w:beforeAutospacing="0" w:after="0" w:afterAutospacing="0" w:line="276" w:lineRule="auto"/>
        <w:jc w:val="both"/>
        <w:textAlignment w:val="baseline"/>
        <w:rPr>
          <w:rFonts w:asciiTheme="majorBidi" w:hAnsiTheme="majorBidi" w:cstheme="majorBidi"/>
        </w:rPr>
      </w:pPr>
      <w:r w:rsidRPr="00324A75">
        <w:rPr>
          <w:rFonts w:asciiTheme="majorBidi" w:hAnsiTheme="majorBidi" w:cstheme="majorBidi"/>
        </w:rPr>
        <w:t>Incinérer</w:t>
      </w:r>
      <w:r w:rsidR="00E80C66" w:rsidRPr="00324A75">
        <w:rPr>
          <w:rFonts w:asciiTheme="majorBidi" w:hAnsiTheme="majorBidi" w:cstheme="majorBidi"/>
        </w:rPr>
        <w:t xml:space="preserve"> l’échantillon à haute température, puis peser le </w:t>
      </w:r>
      <w:r w:rsidRPr="00324A75">
        <w:rPr>
          <w:rFonts w:asciiTheme="majorBidi" w:hAnsiTheme="majorBidi" w:cstheme="majorBidi"/>
        </w:rPr>
        <w:t>résidu</w:t>
      </w:r>
      <w:r w:rsidR="00E80C66" w:rsidRPr="00324A75">
        <w:rPr>
          <w:rFonts w:asciiTheme="majorBidi" w:hAnsiTheme="majorBidi" w:cstheme="majorBidi"/>
        </w:rPr>
        <w:t>, c’est-à-dire les minéraux. Le pourcentage (%) de cendres totales est calculé sur une base humide, mais le plus souvent sur une base sèche pour plus de productibilité</w:t>
      </w:r>
      <w:r w:rsidRPr="00324A75">
        <w:rPr>
          <w:rFonts w:asciiTheme="majorBidi" w:hAnsiTheme="majorBidi" w:cstheme="majorBidi"/>
        </w:rPr>
        <w:t xml:space="preserve"> dans les résultats.</w:t>
      </w:r>
    </w:p>
    <w:p w:rsidR="00B5063C" w:rsidRPr="00324A75" w:rsidRDefault="00B5063C" w:rsidP="005B78D6">
      <w:pPr>
        <w:pStyle w:val="NormalWeb"/>
        <w:shd w:val="clear" w:color="auto" w:fill="FFFFFF"/>
        <w:spacing w:before="0" w:beforeAutospacing="0" w:after="0" w:afterAutospacing="0" w:line="276" w:lineRule="auto"/>
        <w:jc w:val="both"/>
        <w:textAlignment w:val="baseline"/>
        <w:rPr>
          <w:rFonts w:asciiTheme="majorBidi" w:hAnsiTheme="majorBidi" w:cstheme="majorBidi"/>
        </w:rPr>
      </w:pPr>
    </w:p>
    <w:p w:rsidR="001062BC" w:rsidRPr="00324A75" w:rsidRDefault="00324A75" w:rsidP="005B78D6">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2.2</w:t>
      </w:r>
      <w:r w:rsidR="001062BC" w:rsidRPr="00324A75">
        <w:rPr>
          <w:rFonts w:asciiTheme="majorBidi" w:hAnsiTheme="majorBidi" w:cstheme="majorBidi"/>
          <w:b/>
          <w:bCs/>
          <w:sz w:val="24"/>
          <w:szCs w:val="24"/>
        </w:rPr>
        <w:t xml:space="preserve"> Dosage séparé des éléments minéraux</w:t>
      </w:r>
    </w:p>
    <w:p w:rsidR="001062BC" w:rsidRPr="00324A75" w:rsidRDefault="001062BC" w:rsidP="003D2E2C">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Le dosage d'éléments tels que Na, Mg, Fe, I... sert plutôt à l'appréciation de certains</w:t>
      </w:r>
      <w:r w:rsidR="00C07510" w:rsidRPr="00324A75">
        <w:rPr>
          <w:rFonts w:asciiTheme="majorBidi" w:hAnsiTheme="majorBidi" w:cstheme="majorBidi"/>
          <w:sz w:val="24"/>
          <w:szCs w:val="24"/>
        </w:rPr>
        <w:t xml:space="preserve"> </w:t>
      </w:r>
      <w:r w:rsidRPr="00324A75">
        <w:rPr>
          <w:rFonts w:asciiTheme="majorBidi" w:hAnsiTheme="majorBidi" w:cstheme="majorBidi"/>
          <w:sz w:val="24"/>
          <w:szCs w:val="24"/>
        </w:rPr>
        <w:t xml:space="preserve">aliments diététiques (denrées pauvres ou sans sodium, denrées avec </w:t>
      </w:r>
      <w:proofErr w:type="spellStart"/>
      <w:r w:rsidRPr="00324A75">
        <w:rPr>
          <w:rFonts w:asciiTheme="majorBidi" w:hAnsiTheme="majorBidi" w:cstheme="majorBidi"/>
          <w:sz w:val="24"/>
          <w:szCs w:val="24"/>
        </w:rPr>
        <w:t>supplémentation</w:t>
      </w:r>
      <w:proofErr w:type="spellEnd"/>
      <w:r w:rsidRPr="00324A75">
        <w:rPr>
          <w:rFonts w:asciiTheme="majorBidi" w:hAnsiTheme="majorBidi" w:cstheme="majorBidi"/>
          <w:sz w:val="24"/>
          <w:szCs w:val="24"/>
        </w:rPr>
        <w:t xml:space="preserve"> en</w:t>
      </w:r>
      <w:r w:rsidR="00C07510" w:rsidRPr="00324A75">
        <w:rPr>
          <w:rFonts w:asciiTheme="majorBidi" w:hAnsiTheme="majorBidi" w:cstheme="majorBidi"/>
          <w:sz w:val="24"/>
          <w:szCs w:val="24"/>
        </w:rPr>
        <w:t xml:space="preserve"> </w:t>
      </w:r>
      <w:r w:rsidRPr="00324A75">
        <w:rPr>
          <w:rFonts w:asciiTheme="majorBidi" w:hAnsiTheme="majorBidi" w:cstheme="majorBidi"/>
          <w:sz w:val="24"/>
          <w:szCs w:val="24"/>
        </w:rPr>
        <w:t>oligoéléments, produits pour nourrissons..) ou la recherche de falsification (par exemple :</w:t>
      </w:r>
      <w:r w:rsidR="00C07510" w:rsidRPr="00324A75">
        <w:rPr>
          <w:rFonts w:asciiTheme="majorBidi" w:hAnsiTheme="majorBidi" w:cstheme="majorBidi"/>
          <w:sz w:val="24"/>
          <w:szCs w:val="24"/>
        </w:rPr>
        <w:t xml:space="preserve"> </w:t>
      </w:r>
      <w:r w:rsidRPr="00324A75">
        <w:rPr>
          <w:rFonts w:asciiTheme="majorBidi" w:hAnsiTheme="majorBidi" w:cstheme="majorBidi"/>
          <w:sz w:val="24"/>
          <w:szCs w:val="24"/>
        </w:rPr>
        <w:t>dosage de K et P d</w:t>
      </w:r>
      <w:r w:rsidR="00326C58" w:rsidRPr="00324A75">
        <w:rPr>
          <w:rFonts w:asciiTheme="majorBidi" w:hAnsiTheme="majorBidi" w:cstheme="majorBidi"/>
          <w:sz w:val="24"/>
          <w:szCs w:val="24"/>
        </w:rPr>
        <w:t>ans les jus de fruits</w:t>
      </w:r>
      <w:r w:rsidRPr="00324A75">
        <w:rPr>
          <w:rFonts w:asciiTheme="majorBidi" w:hAnsiTheme="majorBidi" w:cstheme="majorBidi"/>
          <w:sz w:val="24"/>
          <w:szCs w:val="24"/>
        </w:rPr>
        <w:t>).</w:t>
      </w:r>
      <w:r w:rsidR="00C07510" w:rsidRPr="00324A75">
        <w:rPr>
          <w:rFonts w:asciiTheme="majorBidi" w:hAnsiTheme="majorBidi" w:cstheme="majorBidi"/>
          <w:sz w:val="24"/>
          <w:szCs w:val="24"/>
        </w:rPr>
        <w:t xml:space="preserve"> </w:t>
      </w:r>
      <w:r w:rsidRPr="00324A75">
        <w:rPr>
          <w:rFonts w:asciiTheme="majorBidi" w:hAnsiTheme="majorBidi" w:cstheme="majorBidi"/>
          <w:sz w:val="24"/>
          <w:szCs w:val="24"/>
        </w:rPr>
        <w:t xml:space="preserve">Ces dosages sont effectués par les méthodes classiques de la chimie </w:t>
      </w:r>
      <w:r w:rsidRPr="00324A75">
        <w:rPr>
          <w:rFonts w:asciiTheme="majorBidi" w:hAnsiTheme="majorBidi" w:cstheme="majorBidi"/>
          <w:sz w:val="24"/>
          <w:szCs w:val="24"/>
        </w:rPr>
        <w:lastRenderedPageBreak/>
        <w:t>analytique</w:t>
      </w:r>
      <w:r w:rsidR="00C07510" w:rsidRPr="00324A75">
        <w:rPr>
          <w:rFonts w:asciiTheme="majorBidi" w:hAnsiTheme="majorBidi" w:cstheme="majorBidi"/>
          <w:sz w:val="24"/>
          <w:szCs w:val="24"/>
        </w:rPr>
        <w:t xml:space="preserve"> </w:t>
      </w:r>
      <w:r w:rsidRPr="00324A75">
        <w:rPr>
          <w:rFonts w:asciiTheme="majorBidi" w:hAnsiTheme="majorBidi" w:cstheme="majorBidi"/>
          <w:sz w:val="24"/>
          <w:szCs w:val="24"/>
        </w:rPr>
        <w:t>(gravimétrie pour P, S, Cl, Si ..., titrimétrie pour S, Cl, Ca, Mg ..., colorimétrie pour P, Cl, Si,</w:t>
      </w:r>
      <w:r w:rsidR="003D2E2C" w:rsidRPr="00324A75">
        <w:rPr>
          <w:rFonts w:asciiTheme="majorBidi" w:hAnsiTheme="majorBidi" w:cstheme="majorBidi"/>
          <w:sz w:val="24"/>
          <w:szCs w:val="24"/>
        </w:rPr>
        <w:t xml:space="preserve"> </w:t>
      </w:r>
      <w:r w:rsidRPr="00324A75">
        <w:rPr>
          <w:rFonts w:asciiTheme="majorBidi" w:hAnsiTheme="majorBidi" w:cstheme="majorBidi"/>
          <w:sz w:val="24"/>
          <w:szCs w:val="24"/>
        </w:rPr>
        <w:t>Fe) ou par absorption atomique (Na, K, Fe ...), en général après minéralisation.</w:t>
      </w:r>
    </w:p>
    <w:p w:rsidR="001062BC" w:rsidRPr="00324A75" w:rsidRDefault="001062BC" w:rsidP="005B78D6">
      <w:pPr>
        <w:autoSpaceDE w:val="0"/>
        <w:autoSpaceDN w:val="0"/>
        <w:adjustRightInd w:val="0"/>
        <w:spacing w:after="0"/>
        <w:jc w:val="both"/>
        <w:rPr>
          <w:rFonts w:asciiTheme="majorBidi" w:hAnsiTheme="majorBidi" w:cstheme="majorBidi"/>
          <w:b/>
          <w:bCs/>
          <w:sz w:val="24"/>
          <w:szCs w:val="24"/>
        </w:rPr>
      </w:pPr>
    </w:p>
    <w:p w:rsidR="00326C58" w:rsidRPr="00324A75" w:rsidRDefault="00755976" w:rsidP="00324A75">
      <w:pPr>
        <w:autoSpaceDE w:val="0"/>
        <w:autoSpaceDN w:val="0"/>
        <w:adjustRightInd w:val="0"/>
        <w:spacing w:after="0"/>
        <w:jc w:val="both"/>
        <w:rPr>
          <w:rFonts w:asciiTheme="majorBidi" w:hAnsiTheme="majorBidi" w:cstheme="majorBidi"/>
          <w:b/>
          <w:bCs/>
          <w:sz w:val="24"/>
          <w:szCs w:val="24"/>
        </w:rPr>
      </w:pPr>
      <w:r w:rsidRPr="00324A75">
        <w:rPr>
          <w:rFonts w:asciiTheme="majorBidi" w:hAnsiTheme="majorBidi" w:cstheme="majorBidi"/>
          <w:b/>
          <w:bCs/>
          <w:sz w:val="24"/>
          <w:szCs w:val="24"/>
        </w:rPr>
        <w:t>2.</w:t>
      </w:r>
      <w:r w:rsidR="00324A75">
        <w:rPr>
          <w:rFonts w:asciiTheme="majorBidi" w:hAnsiTheme="majorBidi" w:cstheme="majorBidi"/>
          <w:b/>
          <w:bCs/>
          <w:sz w:val="24"/>
          <w:szCs w:val="24"/>
        </w:rPr>
        <w:t>2</w:t>
      </w:r>
      <w:r w:rsidR="005B78D6" w:rsidRPr="00324A75">
        <w:rPr>
          <w:rFonts w:asciiTheme="majorBidi" w:hAnsiTheme="majorBidi" w:cstheme="majorBidi"/>
          <w:b/>
          <w:bCs/>
          <w:sz w:val="24"/>
          <w:szCs w:val="24"/>
        </w:rPr>
        <w:t xml:space="preserve">.1 </w:t>
      </w:r>
      <w:r w:rsidR="00326C58" w:rsidRPr="00324A75">
        <w:rPr>
          <w:rFonts w:asciiTheme="majorBidi" w:hAnsiTheme="majorBidi" w:cstheme="majorBidi"/>
          <w:b/>
          <w:bCs/>
          <w:sz w:val="24"/>
          <w:szCs w:val="24"/>
        </w:rPr>
        <w:t>Dosage de P, S, Cl, Si  par gravimétrie</w:t>
      </w:r>
    </w:p>
    <w:p w:rsidR="00623106" w:rsidRPr="00324A75" w:rsidRDefault="00326C58" w:rsidP="005B78D6">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Cette méthode d’analyse quantitative</w:t>
      </w:r>
      <w:r w:rsidR="00932E6E" w:rsidRPr="00324A75">
        <w:rPr>
          <w:rFonts w:asciiTheme="majorBidi" w:hAnsiTheme="majorBidi" w:cstheme="majorBidi"/>
          <w:sz w:val="24"/>
          <w:szCs w:val="24"/>
        </w:rPr>
        <w:t xml:space="preserve"> a pour but d’obtenir une séparation quantitative d’un cation ou d’un anion (en solution aqueuse) par précipitation sélective d’un sel</w:t>
      </w:r>
      <w:r w:rsidRPr="00324A75">
        <w:rPr>
          <w:rFonts w:asciiTheme="majorBidi" w:hAnsiTheme="majorBidi" w:cstheme="majorBidi"/>
          <w:sz w:val="24"/>
          <w:szCs w:val="24"/>
        </w:rPr>
        <w:t xml:space="preserve"> </w:t>
      </w:r>
      <w:r w:rsidR="00932E6E" w:rsidRPr="00324A75">
        <w:rPr>
          <w:rFonts w:asciiTheme="majorBidi" w:hAnsiTheme="majorBidi" w:cstheme="majorBidi"/>
          <w:sz w:val="24"/>
          <w:szCs w:val="24"/>
        </w:rPr>
        <w:t>insoluble. La méthode consiste à transformer une espèce soluble a un composé insoluble, dans un milieu déterminé. Le précipité formé est pesé ce qui permet de quantifier l’espèce soluble dans le milieu de départ.</w:t>
      </w:r>
    </w:p>
    <w:p w:rsidR="00623106" w:rsidRPr="00324A75" w:rsidRDefault="00755976" w:rsidP="00324A75">
      <w:pPr>
        <w:autoSpaceDE w:val="0"/>
        <w:autoSpaceDN w:val="0"/>
        <w:adjustRightInd w:val="0"/>
        <w:spacing w:after="0"/>
        <w:jc w:val="both"/>
        <w:rPr>
          <w:rFonts w:asciiTheme="majorBidi" w:hAnsiTheme="majorBidi" w:cstheme="majorBidi"/>
          <w:b/>
          <w:bCs/>
          <w:sz w:val="24"/>
          <w:szCs w:val="24"/>
        </w:rPr>
      </w:pPr>
      <w:r w:rsidRPr="00324A75">
        <w:rPr>
          <w:rFonts w:asciiTheme="majorBidi" w:hAnsiTheme="majorBidi" w:cstheme="majorBidi"/>
          <w:b/>
          <w:bCs/>
          <w:sz w:val="24"/>
          <w:szCs w:val="24"/>
        </w:rPr>
        <w:t>2.</w:t>
      </w:r>
      <w:r w:rsidR="00324A75">
        <w:rPr>
          <w:rFonts w:asciiTheme="majorBidi" w:hAnsiTheme="majorBidi" w:cstheme="majorBidi"/>
          <w:b/>
          <w:bCs/>
          <w:sz w:val="24"/>
          <w:szCs w:val="24"/>
        </w:rPr>
        <w:t>2</w:t>
      </w:r>
      <w:r w:rsidR="005B78D6" w:rsidRPr="00324A75">
        <w:rPr>
          <w:rFonts w:asciiTheme="majorBidi" w:hAnsiTheme="majorBidi" w:cstheme="majorBidi"/>
          <w:b/>
          <w:bCs/>
          <w:sz w:val="24"/>
          <w:szCs w:val="24"/>
        </w:rPr>
        <w:t xml:space="preserve">.2 </w:t>
      </w:r>
      <w:r w:rsidR="00623106" w:rsidRPr="00324A75">
        <w:rPr>
          <w:rFonts w:asciiTheme="majorBidi" w:hAnsiTheme="majorBidi" w:cstheme="majorBidi"/>
          <w:b/>
          <w:bCs/>
          <w:sz w:val="24"/>
          <w:szCs w:val="24"/>
        </w:rPr>
        <w:t>Dosage de S, Cl, Ca, Mg par titrimétrie</w:t>
      </w:r>
    </w:p>
    <w:p w:rsidR="00755976" w:rsidRPr="00324A75" w:rsidRDefault="0068171E" w:rsidP="00755976">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La titrimétrie ou titrage est une technique de dosage utilisée en chimie analytique pour déterminer la concentration d'une espèce chimique en solution. Elle est particulièrement utile pour les déterminations de substances difficilement quantifiables, qu</w:t>
      </w:r>
      <w:r w:rsidR="00755976" w:rsidRPr="00324A75">
        <w:rPr>
          <w:rFonts w:asciiTheme="majorBidi" w:hAnsiTheme="majorBidi" w:cstheme="majorBidi"/>
          <w:sz w:val="24"/>
          <w:szCs w:val="24"/>
        </w:rPr>
        <w:t xml:space="preserve">i ne peuvent être réalisées par </w:t>
      </w:r>
      <w:r w:rsidRPr="00324A75">
        <w:rPr>
          <w:rFonts w:asciiTheme="majorBidi" w:hAnsiTheme="majorBidi" w:cstheme="majorBidi"/>
          <w:sz w:val="24"/>
          <w:szCs w:val="24"/>
        </w:rPr>
        <w:t>colorimétrie.</w:t>
      </w:r>
    </w:p>
    <w:p w:rsidR="0068171E" w:rsidRPr="00324A75" w:rsidRDefault="0068171E" w:rsidP="00324A75">
      <w:pPr>
        <w:autoSpaceDE w:val="0"/>
        <w:autoSpaceDN w:val="0"/>
        <w:adjustRightInd w:val="0"/>
        <w:spacing w:after="0"/>
        <w:jc w:val="both"/>
        <w:rPr>
          <w:rFonts w:asciiTheme="majorBidi" w:hAnsiTheme="majorBidi" w:cstheme="majorBidi"/>
          <w:b/>
          <w:bCs/>
          <w:sz w:val="24"/>
          <w:szCs w:val="24"/>
        </w:rPr>
      </w:pPr>
      <w:r w:rsidRPr="00324A75">
        <w:rPr>
          <w:rFonts w:asciiTheme="majorBidi" w:hAnsiTheme="majorBidi" w:cstheme="majorBidi"/>
          <w:sz w:val="24"/>
          <w:szCs w:val="24"/>
        </w:rPr>
        <w:t xml:space="preserve">Le principe de titration est simple puisqu'il suffit d'ajouter goutte à goutte une solution de titrage à un volume d'échantillon précis. Après réaction, un excès de solution de titrage provoque le virage d'un indicateur coloré. La quantité de la solution de titrage nécessaire correspond exactement à la quantité de la substance à déterminer. </w:t>
      </w:r>
    </w:p>
    <w:p w:rsidR="0068171E" w:rsidRPr="00324A75" w:rsidRDefault="00755976" w:rsidP="00324A75">
      <w:pPr>
        <w:autoSpaceDE w:val="0"/>
        <w:autoSpaceDN w:val="0"/>
        <w:adjustRightInd w:val="0"/>
        <w:spacing w:after="0"/>
        <w:jc w:val="both"/>
        <w:rPr>
          <w:rFonts w:asciiTheme="majorBidi" w:hAnsiTheme="majorBidi" w:cstheme="majorBidi"/>
          <w:b/>
          <w:bCs/>
          <w:sz w:val="24"/>
          <w:szCs w:val="24"/>
        </w:rPr>
      </w:pPr>
      <w:r w:rsidRPr="00324A75">
        <w:rPr>
          <w:rFonts w:asciiTheme="majorBidi" w:hAnsiTheme="majorBidi" w:cstheme="majorBidi"/>
          <w:b/>
          <w:bCs/>
          <w:sz w:val="24"/>
          <w:szCs w:val="24"/>
        </w:rPr>
        <w:t>2.</w:t>
      </w:r>
      <w:r w:rsidR="00324A75">
        <w:rPr>
          <w:rFonts w:asciiTheme="majorBidi" w:hAnsiTheme="majorBidi" w:cstheme="majorBidi"/>
          <w:b/>
          <w:bCs/>
          <w:sz w:val="24"/>
          <w:szCs w:val="24"/>
        </w:rPr>
        <w:t>2</w:t>
      </w:r>
      <w:r w:rsidR="005B78D6" w:rsidRPr="00324A75">
        <w:rPr>
          <w:rFonts w:asciiTheme="majorBidi" w:hAnsiTheme="majorBidi" w:cstheme="majorBidi"/>
          <w:b/>
          <w:bCs/>
          <w:sz w:val="24"/>
          <w:szCs w:val="24"/>
        </w:rPr>
        <w:t xml:space="preserve">.3 </w:t>
      </w:r>
      <w:r w:rsidR="0068171E" w:rsidRPr="00324A75">
        <w:rPr>
          <w:rFonts w:asciiTheme="majorBidi" w:hAnsiTheme="majorBidi" w:cstheme="majorBidi"/>
          <w:b/>
          <w:bCs/>
          <w:sz w:val="24"/>
          <w:szCs w:val="24"/>
        </w:rPr>
        <w:t xml:space="preserve">Dosage de </w:t>
      </w:r>
      <w:r w:rsidR="0063669E" w:rsidRPr="00324A75">
        <w:rPr>
          <w:rFonts w:asciiTheme="majorBidi" w:hAnsiTheme="majorBidi" w:cstheme="majorBidi"/>
          <w:b/>
          <w:bCs/>
          <w:sz w:val="24"/>
          <w:szCs w:val="24"/>
        </w:rPr>
        <w:t>pour P</w:t>
      </w:r>
      <w:r w:rsidR="0068171E" w:rsidRPr="00324A75">
        <w:rPr>
          <w:rFonts w:asciiTheme="majorBidi" w:hAnsiTheme="majorBidi" w:cstheme="majorBidi"/>
          <w:b/>
          <w:bCs/>
          <w:sz w:val="24"/>
          <w:szCs w:val="24"/>
        </w:rPr>
        <w:t xml:space="preserve"> par colorimétrie</w:t>
      </w:r>
    </w:p>
    <w:p w:rsidR="0063669E" w:rsidRPr="00324A75" w:rsidRDefault="00CB3006" w:rsidP="005B78D6">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La colorimétrie est utilisée pour la détermination du Phosphore dans les solutions de cendres. En milieu aci</w:t>
      </w:r>
      <w:r w:rsidR="0063669E" w:rsidRPr="00324A75">
        <w:rPr>
          <w:rFonts w:asciiTheme="majorBidi" w:hAnsiTheme="majorBidi" w:cstheme="majorBidi"/>
          <w:sz w:val="24"/>
          <w:szCs w:val="24"/>
        </w:rPr>
        <w:t xml:space="preserve">de, </w:t>
      </w:r>
      <w:r w:rsidRPr="00324A75">
        <w:rPr>
          <w:rFonts w:asciiTheme="majorBidi" w:hAnsiTheme="majorBidi" w:cstheme="majorBidi"/>
          <w:sz w:val="24"/>
          <w:szCs w:val="24"/>
        </w:rPr>
        <w:t xml:space="preserve">l'acide phosphorique donne un complexe </w:t>
      </w:r>
      <w:proofErr w:type="spellStart"/>
      <w:r w:rsidRPr="00324A75">
        <w:rPr>
          <w:rFonts w:asciiTheme="majorBidi" w:hAnsiTheme="majorBidi" w:cstheme="majorBidi"/>
          <w:sz w:val="24"/>
          <w:szCs w:val="24"/>
        </w:rPr>
        <w:t>phosphovanadomolybdique</w:t>
      </w:r>
      <w:proofErr w:type="spellEnd"/>
      <w:r w:rsidRPr="00324A75">
        <w:rPr>
          <w:rFonts w:asciiTheme="majorBidi" w:hAnsiTheme="majorBidi" w:cstheme="majorBidi"/>
          <w:sz w:val="24"/>
          <w:szCs w:val="24"/>
        </w:rPr>
        <w:t xml:space="preserve"> jaune, dont la</w:t>
      </w:r>
      <w:r w:rsidR="0063669E" w:rsidRPr="00324A75">
        <w:rPr>
          <w:rFonts w:asciiTheme="majorBidi" w:hAnsiTheme="majorBidi" w:cstheme="majorBidi"/>
          <w:sz w:val="24"/>
          <w:szCs w:val="24"/>
        </w:rPr>
        <w:t xml:space="preserve"> densité optique est mesurée au </w:t>
      </w:r>
      <w:proofErr w:type="spellStart"/>
      <w:r w:rsidR="0063669E" w:rsidRPr="00324A75">
        <w:rPr>
          <w:rFonts w:asciiTheme="majorBidi" w:hAnsiTheme="majorBidi" w:cstheme="majorBidi"/>
          <w:sz w:val="24"/>
          <w:szCs w:val="24"/>
        </w:rPr>
        <w:t>photocolorimètre</w:t>
      </w:r>
      <w:proofErr w:type="spellEnd"/>
      <w:r w:rsidR="0063669E" w:rsidRPr="00324A75">
        <w:rPr>
          <w:rFonts w:asciiTheme="majorBidi" w:hAnsiTheme="majorBidi" w:cstheme="majorBidi"/>
          <w:sz w:val="24"/>
          <w:szCs w:val="24"/>
        </w:rPr>
        <w:t xml:space="preserve"> à 468 nm avec filtre bleu. </w:t>
      </w:r>
    </w:p>
    <w:p w:rsidR="0063669E" w:rsidRPr="00324A75" w:rsidRDefault="0063669E" w:rsidP="005B78D6">
      <w:pPr>
        <w:autoSpaceDE w:val="0"/>
        <w:autoSpaceDN w:val="0"/>
        <w:adjustRightInd w:val="0"/>
        <w:spacing w:after="0"/>
        <w:jc w:val="both"/>
        <w:rPr>
          <w:rFonts w:asciiTheme="majorBidi" w:hAnsiTheme="majorBidi" w:cstheme="majorBidi"/>
          <w:b/>
          <w:bCs/>
          <w:sz w:val="24"/>
          <w:szCs w:val="24"/>
          <w:u w:val="single"/>
        </w:rPr>
      </w:pPr>
      <w:r w:rsidRPr="00324A75">
        <w:rPr>
          <w:rFonts w:asciiTheme="majorBidi" w:hAnsiTheme="majorBidi" w:cstheme="majorBidi"/>
          <w:b/>
          <w:bCs/>
          <w:sz w:val="24"/>
          <w:szCs w:val="24"/>
          <w:u w:val="single"/>
        </w:rPr>
        <w:t xml:space="preserve">Loi de </w:t>
      </w:r>
      <w:proofErr w:type="spellStart"/>
      <w:r w:rsidRPr="00324A75">
        <w:rPr>
          <w:rFonts w:asciiTheme="majorBidi" w:hAnsiTheme="majorBidi" w:cstheme="majorBidi"/>
          <w:b/>
          <w:bCs/>
          <w:sz w:val="24"/>
          <w:szCs w:val="24"/>
          <w:u w:val="single"/>
        </w:rPr>
        <w:t>Beer</w:t>
      </w:r>
      <w:proofErr w:type="spellEnd"/>
      <w:r w:rsidRPr="00324A75">
        <w:rPr>
          <w:rFonts w:asciiTheme="majorBidi" w:hAnsiTheme="majorBidi" w:cstheme="majorBidi"/>
          <w:b/>
          <w:bCs/>
          <w:sz w:val="24"/>
          <w:szCs w:val="24"/>
          <w:u w:val="single"/>
        </w:rPr>
        <w:t xml:space="preserve"> et Lambert </w:t>
      </w:r>
    </w:p>
    <w:p w:rsidR="0068171E" w:rsidRPr="00324A75" w:rsidRDefault="0063669E" w:rsidP="005B78D6">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Lorsqu'un liquide coloré est traversé par un flux lumineux, il ne laisse passer qu'une partie de la lumière incidente. Pour des concentrations inférieures à 10-2 mole/ litre et en l'absence de substances gênant la limpidité des solutions, l'absorption, ou densité optique, est proportionnelle à l'épaisseur de la solution traversée et à la concentration du corps dissous.</w:t>
      </w:r>
    </w:p>
    <w:p w:rsidR="0063669E" w:rsidRPr="00324A75" w:rsidRDefault="0063669E" w:rsidP="005B78D6">
      <w:pPr>
        <w:autoSpaceDE w:val="0"/>
        <w:autoSpaceDN w:val="0"/>
        <w:adjustRightInd w:val="0"/>
        <w:spacing w:after="0"/>
        <w:jc w:val="both"/>
        <w:rPr>
          <w:rFonts w:asciiTheme="majorBidi" w:hAnsiTheme="majorBidi" w:cstheme="majorBidi"/>
          <w:sz w:val="24"/>
          <w:szCs w:val="24"/>
        </w:rPr>
      </w:pPr>
    </w:p>
    <w:p w:rsidR="00623106" w:rsidRPr="00324A75" w:rsidRDefault="00755976" w:rsidP="00324A75">
      <w:pPr>
        <w:autoSpaceDE w:val="0"/>
        <w:autoSpaceDN w:val="0"/>
        <w:adjustRightInd w:val="0"/>
        <w:spacing w:after="0"/>
        <w:jc w:val="both"/>
        <w:rPr>
          <w:rFonts w:asciiTheme="majorBidi" w:hAnsiTheme="majorBidi" w:cstheme="majorBidi"/>
          <w:b/>
          <w:bCs/>
          <w:sz w:val="24"/>
          <w:szCs w:val="24"/>
        </w:rPr>
      </w:pPr>
      <w:r w:rsidRPr="00324A75">
        <w:rPr>
          <w:rFonts w:asciiTheme="majorBidi" w:hAnsiTheme="majorBidi" w:cstheme="majorBidi"/>
          <w:b/>
          <w:bCs/>
          <w:sz w:val="24"/>
          <w:szCs w:val="24"/>
        </w:rPr>
        <w:t>2.</w:t>
      </w:r>
      <w:r w:rsidR="00324A75">
        <w:rPr>
          <w:rFonts w:asciiTheme="majorBidi" w:hAnsiTheme="majorBidi" w:cstheme="majorBidi"/>
          <w:b/>
          <w:bCs/>
          <w:sz w:val="24"/>
          <w:szCs w:val="24"/>
        </w:rPr>
        <w:t>2</w:t>
      </w:r>
      <w:r w:rsidR="005B78D6" w:rsidRPr="00324A75">
        <w:rPr>
          <w:rFonts w:asciiTheme="majorBidi" w:hAnsiTheme="majorBidi" w:cstheme="majorBidi"/>
          <w:b/>
          <w:bCs/>
          <w:sz w:val="24"/>
          <w:szCs w:val="24"/>
        </w:rPr>
        <w:t xml:space="preserve">.4 </w:t>
      </w:r>
      <w:r w:rsidR="003657EF" w:rsidRPr="00324A75">
        <w:rPr>
          <w:rFonts w:asciiTheme="majorBidi" w:hAnsiTheme="majorBidi" w:cstheme="majorBidi"/>
          <w:b/>
          <w:bCs/>
          <w:sz w:val="24"/>
          <w:szCs w:val="24"/>
        </w:rPr>
        <w:t>Dosage de Na, K et Ca par photométrie de flamme</w:t>
      </w:r>
    </w:p>
    <w:p w:rsidR="00623106" w:rsidRPr="00324A75" w:rsidRDefault="003657EF" w:rsidP="005B78D6">
      <w:pPr>
        <w:autoSpaceDE w:val="0"/>
        <w:autoSpaceDN w:val="0"/>
        <w:adjustRightInd w:val="0"/>
        <w:spacing w:after="0"/>
        <w:jc w:val="both"/>
        <w:rPr>
          <w:rFonts w:asciiTheme="majorBidi" w:hAnsiTheme="majorBidi" w:cstheme="majorBidi"/>
          <w:sz w:val="24"/>
          <w:szCs w:val="24"/>
        </w:rPr>
      </w:pPr>
      <w:r w:rsidRPr="00324A75">
        <w:rPr>
          <w:rFonts w:asciiTheme="majorBidi" w:hAnsiTheme="majorBidi" w:cstheme="majorBidi"/>
          <w:sz w:val="24"/>
          <w:szCs w:val="24"/>
        </w:rPr>
        <w:t xml:space="preserve">Cette technique est utilisée pour la détermination des éléments Potassium, Calcium, Sodium. Si un élément est soumis à une excitation, donnée sous la forme d'énergie calorifique, les électrons de ses atomes peuvent passer d'une orbite à une autre avec une variation d'énergie qui s'accompagne de radiations lumineuses. La production d'une raie est fonction de la source d'excitation, et l'élément excité produit un nombre de raies qui lui est propre, l'intensité d'une raie étant fonction du nombre d'atomes excités, c'est à dire de la concentration en l'élément de la solution à doser. Dans la photométrie de flamme, on compare l'intensité d'émission d'une </w:t>
      </w:r>
      <w:r w:rsidR="00CB3006" w:rsidRPr="00324A75">
        <w:rPr>
          <w:rFonts w:asciiTheme="majorBidi" w:hAnsiTheme="majorBidi" w:cstheme="majorBidi"/>
          <w:sz w:val="24"/>
          <w:szCs w:val="24"/>
        </w:rPr>
        <w:t>solution contenant l'élément à  déterminer à</w:t>
      </w:r>
      <w:r w:rsidRPr="00324A75">
        <w:rPr>
          <w:rFonts w:asciiTheme="majorBidi" w:hAnsiTheme="majorBidi" w:cstheme="majorBidi"/>
          <w:sz w:val="24"/>
          <w:szCs w:val="24"/>
        </w:rPr>
        <w:t xml:space="preserve"> celle d'une solution étalon. L'énergie lumineuse, transformée en énergie électrique par une</w:t>
      </w:r>
      <w:r w:rsidR="00CB3006" w:rsidRPr="00324A75">
        <w:rPr>
          <w:rFonts w:asciiTheme="majorBidi" w:hAnsiTheme="majorBidi" w:cstheme="majorBidi"/>
          <w:sz w:val="24"/>
          <w:szCs w:val="24"/>
        </w:rPr>
        <w:t xml:space="preserve"> cellule photoélectrique, est mesurée par un galvanomètre fonctionnant</w:t>
      </w:r>
      <w:r w:rsidRPr="00324A75">
        <w:rPr>
          <w:rFonts w:asciiTheme="majorBidi" w:hAnsiTheme="majorBidi" w:cstheme="majorBidi"/>
          <w:sz w:val="24"/>
          <w:szCs w:val="24"/>
        </w:rPr>
        <w:t xml:space="preserve"> en ampèremètre.</w:t>
      </w:r>
    </w:p>
    <w:p w:rsidR="00CB3006" w:rsidRPr="00324A75" w:rsidRDefault="00CB3006" w:rsidP="005B78D6">
      <w:pPr>
        <w:autoSpaceDE w:val="0"/>
        <w:autoSpaceDN w:val="0"/>
        <w:adjustRightInd w:val="0"/>
        <w:spacing w:after="0"/>
        <w:jc w:val="both"/>
        <w:rPr>
          <w:rFonts w:asciiTheme="majorBidi" w:hAnsiTheme="majorBidi" w:cstheme="majorBidi"/>
          <w:sz w:val="24"/>
          <w:szCs w:val="24"/>
        </w:rPr>
      </w:pPr>
    </w:p>
    <w:p w:rsidR="007421A4" w:rsidRPr="00324A75" w:rsidRDefault="007421A4" w:rsidP="005B78D6">
      <w:pPr>
        <w:autoSpaceDE w:val="0"/>
        <w:autoSpaceDN w:val="0"/>
        <w:adjustRightInd w:val="0"/>
        <w:spacing w:after="0"/>
        <w:jc w:val="both"/>
        <w:rPr>
          <w:rFonts w:asciiTheme="majorBidi" w:hAnsiTheme="majorBidi" w:cstheme="majorBidi"/>
          <w:sz w:val="24"/>
          <w:szCs w:val="24"/>
        </w:rPr>
      </w:pPr>
    </w:p>
    <w:p w:rsidR="007421A4" w:rsidRPr="00324A75" w:rsidRDefault="007421A4" w:rsidP="007421A4">
      <w:pPr>
        <w:rPr>
          <w:rFonts w:asciiTheme="majorBidi" w:hAnsiTheme="majorBidi" w:cstheme="majorBidi"/>
          <w:sz w:val="24"/>
          <w:szCs w:val="24"/>
        </w:rPr>
      </w:pPr>
    </w:p>
    <w:p w:rsidR="007421A4" w:rsidRPr="00324A75" w:rsidRDefault="007421A4" w:rsidP="007421A4">
      <w:pPr>
        <w:rPr>
          <w:rFonts w:asciiTheme="majorBidi" w:hAnsiTheme="majorBidi" w:cstheme="majorBidi"/>
          <w:sz w:val="24"/>
          <w:szCs w:val="24"/>
        </w:rPr>
      </w:pPr>
    </w:p>
    <w:sectPr w:rsidR="007421A4" w:rsidRPr="00324A75" w:rsidSect="009E2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65D"/>
    <w:multiLevelType w:val="multilevel"/>
    <w:tmpl w:val="4DCE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43DF1"/>
    <w:multiLevelType w:val="hybridMultilevel"/>
    <w:tmpl w:val="FF703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EA60FD"/>
    <w:multiLevelType w:val="hybridMultilevel"/>
    <w:tmpl w:val="25A477D2"/>
    <w:lvl w:ilvl="0" w:tplc="288001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3C463F"/>
    <w:multiLevelType w:val="hybridMultilevel"/>
    <w:tmpl w:val="60949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A97FE4"/>
    <w:multiLevelType w:val="hybridMultilevel"/>
    <w:tmpl w:val="2D9C3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0363"/>
    <w:rsid w:val="0007181E"/>
    <w:rsid w:val="001062BC"/>
    <w:rsid w:val="00324A75"/>
    <w:rsid w:val="00326C58"/>
    <w:rsid w:val="003657EF"/>
    <w:rsid w:val="00380FF9"/>
    <w:rsid w:val="003D2E2C"/>
    <w:rsid w:val="003F357A"/>
    <w:rsid w:val="00453335"/>
    <w:rsid w:val="004A0A34"/>
    <w:rsid w:val="00502BCC"/>
    <w:rsid w:val="005371F4"/>
    <w:rsid w:val="00585CA2"/>
    <w:rsid w:val="005B78D6"/>
    <w:rsid w:val="005C0194"/>
    <w:rsid w:val="00623106"/>
    <w:rsid w:val="0063669E"/>
    <w:rsid w:val="0068171E"/>
    <w:rsid w:val="006B205F"/>
    <w:rsid w:val="007243F0"/>
    <w:rsid w:val="007421A4"/>
    <w:rsid w:val="00755976"/>
    <w:rsid w:val="0079170C"/>
    <w:rsid w:val="007A0B91"/>
    <w:rsid w:val="00932E6E"/>
    <w:rsid w:val="009E2076"/>
    <w:rsid w:val="00A13CE0"/>
    <w:rsid w:val="00AB6C6B"/>
    <w:rsid w:val="00B5063C"/>
    <w:rsid w:val="00B85F14"/>
    <w:rsid w:val="00C07510"/>
    <w:rsid w:val="00C16BD1"/>
    <w:rsid w:val="00C378A5"/>
    <w:rsid w:val="00C90363"/>
    <w:rsid w:val="00CB3006"/>
    <w:rsid w:val="00D5606F"/>
    <w:rsid w:val="00E30E23"/>
    <w:rsid w:val="00E73199"/>
    <w:rsid w:val="00E80C66"/>
    <w:rsid w:val="00E8432B"/>
    <w:rsid w:val="00EF40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76"/>
  </w:style>
  <w:style w:type="paragraph" w:styleId="Titre3">
    <w:name w:val="heading 3"/>
    <w:basedOn w:val="Normal"/>
    <w:link w:val="Titre3Car"/>
    <w:uiPriority w:val="9"/>
    <w:qFormat/>
    <w:rsid w:val="00C903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903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0363"/>
    <w:rPr>
      <w:b/>
      <w:bCs/>
    </w:rPr>
  </w:style>
  <w:style w:type="character" w:customStyle="1" w:styleId="Titre3Car">
    <w:name w:val="Titre 3 Car"/>
    <w:basedOn w:val="Policepardfaut"/>
    <w:link w:val="Titre3"/>
    <w:uiPriority w:val="9"/>
    <w:rsid w:val="00C90363"/>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502BCC"/>
    <w:pPr>
      <w:ind w:left="720"/>
      <w:contextualSpacing/>
    </w:pPr>
  </w:style>
  <w:style w:type="table" w:styleId="Grilledutableau">
    <w:name w:val="Table Grid"/>
    <w:basedOn w:val="TableauNormal"/>
    <w:uiPriority w:val="59"/>
    <w:rsid w:val="00B85F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7940698">
      <w:bodyDiv w:val="1"/>
      <w:marLeft w:val="0"/>
      <w:marRight w:val="0"/>
      <w:marTop w:val="0"/>
      <w:marBottom w:val="0"/>
      <w:divBdr>
        <w:top w:val="none" w:sz="0" w:space="0" w:color="auto"/>
        <w:left w:val="none" w:sz="0" w:space="0" w:color="auto"/>
        <w:bottom w:val="none" w:sz="0" w:space="0" w:color="auto"/>
        <w:right w:val="none" w:sz="0" w:space="0" w:color="auto"/>
      </w:divBdr>
    </w:div>
    <w:div w:id="819007914">
      <w:bodyDiv w:val="1"/>
      <w:marLeft w:val="0"/>
      <w:marRight w:val="0"/>
      <w:marTop w:val="0"/>
      <w:marBottom w:val="0"/>
      <w:divBdr>
        <w:top w:val="none" w:sz="0" w:space="0" w:color="auto"/>
        <w:left w:val="none" w:sz="0" w:space="0" w:color="auto"/>
        <w:bottom w:val="none" w:sz="0" w:space="0" w:color="auto"/>
        <w:right w:val="none" w:sz="0" w:space="0" w:color="auto"/>
      </w:divBdr>
    </w:div>
    <w:div w:id="1118065902">
      <w:bodyDiv w:val="1"/>
      <w:marLeft w:val="0"/>
      <w:marRight w:val="0"/>
      <w:marTop w:val="0"/>
      <w:marBottom w:val="0"/>
      <w:divBdr>
        <w:top w:val="none" w:sz="0" w:space="0" w:color="auto"/>
        <w:left w:val="none" w:sz="0" w:space="0" w:color="auto"/>
        <w:bottom w:val="none" w:sz="0" w:space="0" w:color="auto"/>
        <w:right w:val="none" w:sz="0" w:space="0" w:color="auto"/>
      </w:divBdr>
    </w:div>
    <w:div w:id="1699349424">
      <w:bodyDiv w:val="1"/>
      <w:marLeft w:val="0"/>
      <w:marRight w:val="0"/>
      <w:marTop w:val="0"/>
      <w:marBottom w:val="0"/>
      <w:divBdr>
        <w:top w:val="none" w:sz="0" w:space="0" w:color="auto"/>
        <w:left w:val="none" w:sz="0" w:space="0" w:color="auto"/>
        <w:bottom w:val="none" w:sz="0" w:space="0" w:color="auto"/>
        <w:right w:val="none" w:sz="0" w:space="0" w:color="auto"/>
      </w:divBdr>
      <w:divsChild>
        <w:div w:id="1341199328">
          <w:marLeft w:val="0"/>
          <w:marRight w:val="0"/>
          <w:marTop w:val="0"/>
          <w:marBottom w:val="622"/>
          <w:divBdr>
            <w:top w:val="none" w:sz="0" w:space="0" w:color="auto"/>
            <w:left w:val="none" w:sz="0" w:space="0" w:color="auto"/>
            <w:bottom w:val="none" w:sz="0" w:space="0" w:color="auto"/>
            <w:right w:val="none" w:sz="0" w:space="0" w:color="auto"/>
          </w:divBdr>
          <w:divsChild>
            <w:div w:id="382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1224</Words>
  <Characters>6732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belkacem</dc:creator>
  <cp:lastModifiedBy>belkacem</cp:lastModifiedBy>
  <cp:revision>18</cp:revision>
  <dcterms:created xsi:type="dcterms:W3CDTF">2020-04-01T09:11:00Z</dcterms:created>
  <dcterms:modified xsi:type="dcterms:W3CDTF">2020-04-05T23:28:00Z</dcterms:modified>
</cp:coreProperties>
</file>