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F" w:rsidRPr="005545D3" w:rsidRDefault="005545D3" w:rsidP="00D256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3.</w:t>
      </w:r>
      <w:r w:rsidR="00D256DF" w:rsidRPr="005545D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Suite</w:t>
      </w:r>
      <w:proofErr w:type="gramEnd"/>
      <w:r w:rsidR="00D256DF" w:rsidRPr="005545D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de l’exercice </w:t>
      </w:r>
    </w:p>
    <w:p w:rsidR="00D256DF" w:rsidRDefault="00D256DF" w:rsidP="00D256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D256DF" w:rsidRPr="005545D3" w:rsidRDefault="005545D3" w:rsidP="00D256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5545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</w:t>
      </w:r>
      <w:proofErr w:type="gramStart"/>
      <w:r w:rsidRPr="005545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D256DF" w:rsidRPr="005545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Décharge</w:t>
      </w:r>
      <w:proofErr w:type="gramEnd"/>
      <w:r w:rsidR="00D256DF" w:rsidRPr="005545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de la structure. Etat résiduel</w:t>
      </w:r>
    </w:p>
    <w:p w:rsidR="00D256DF" w:rsidRDefault="00D256DF" w:rsidP="00D256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 effectue une décharge de la structure à partir de la charge limite </w:t>
      </w:r>
      <w:proofErr w:type="spellStart"/>
      <w:proofErr w:type="gramStart"/>
      <w:r w:rsidRPr="00D256DF">
        <w:rPr>
          <w:rFonts w:ascii="Times New Roman" w:hAnsi="Times New Roman" w:cs="Times New Roman"/>
          <w:b/>
          <w:bCs/>
          <w:i/>
          <w:iCs/>
          <w:sz w:val="23"/>
          <w:szCs w:val="23"/>
        </w:rPr>
        <w:t>Q</w:t>
      </w:r>
      <w:r w:rsidRPr="00D256DF">
        <w:rPr>
          <w:rFonts w:ascii="Times New Roman" w:hAnsi="Times New Roman" w:cs="Times New Roman"/>
          <w:b/>
          <w:bCs/>
          <w:i/>
          <w:iCs/>
          <w:sz w:val="14"/>
          <w:szCs w:val="14"/>
        </w:rPr>
        <w:t>l</w:t>
      </w:r>
      <w:proofErr w:type="spellEnd"/>
      <w:r w:rsidRPr="00D256DF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immédiatement avant</w:t>
      </w:r>
    </w:p>
    <w:p w:rsidR="00D256DF" w:rsidRDefault="00D256DF" w:rsidP="00D256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que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 se produise l'écoulement plastique libre de la structure. Adoptant l'hypothèse que cette</w:t>
      </w:r>
    </w:p>
    <w:p w:rsidR="00D256DF" w:rsidRDefault="00D256DF" w:rsidP="00D256DF">
      <w:proofErr w:type="gramStart"/>
      <w:r>
        <w:rPr>
          <w:rFonts w:ascii="Times New Roman" w:hAnsi="Times New Roman" w:cs="Times New Roman"/>
          <w:sz w:val="23"/>
          <w:szCs w:val="23"/>
        </w:rPr>
        <w:t>décharge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est </w:t>
      </w:r>
      <w:r>
        <w:rPr>
          <w:rFonts w:ascii="Times New Roman" w:hAnsi="Times New Roman" w:cs="Times New Roman"/>
          <w:i/>
          <w:iCs/>
          <w:sz w:val="23"/>
          <w:szCs w:val="23"/>
        </w:rPr>
        <w:t>élastique</w:t>
      </w:r>
      <w:r>
        <w:rPr>
          <w:rFonts w:ascii="Times New Roman" w:hAnsi="Times New Roman" w:cs="Times New Roman"/>
          <w:sz w:val="23"/>
          <w:szCs w:val="23"/>
        </w:rPr>
        <w:t xml:space="preserve">, et raisonnant en </w:t>
      </w:r>
      <w:proofErr w:type="spellStart"/>
      <w:r>
        <w:rPr>
          <w:rFonts w:ascii="Times New Roman" w:hAnsi="Times New Roman" w:cs="Times New Roman"/>
          <w:sz w:val="23"/>
          <w:szCs w:val="23"/>
        </w:rPr>
        <w:t>acroissements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en posant</w:t>
      </w:r>
    </w:p>
    <w:p w:rsidR="00D256DF" w:rsidRDefault="00D256DF" w:rsidP="00D256DF">
      <w:r>
        <w:rPr>
          <w:noProof/>
          <w:lang w:eastAsia="fr-FR"/>
        </w:rPr>
        <w:drawing>
          <wp:inline distT="0" distB="0" distL="0" distR="0">
            <wp:extent cx="5234858" cy="683812"/>
            <wp:effectExtent l="19050" t="0" r="389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34" cy="6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DF" w:rsidRDefault="00D256DF" w:rsidP="00554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apparaît immédiatement que les accroissements (algébriques) </w:t>
      </w:r>
      <w:r w:rsidR="005545D3">
        <w:rPr>
          <w:rFonts w:ascii="Times New Roman" w:hAnsi="Times New Roman" w:cs="Times New Roman"/>
          <w:sz w:val="23"/>
          <w:szCs w:val="23"/>
        </w:rPr>
        <w:t xml:space="preserve"> </w:t>
      </w:r>
      <w:r w:rsidRPr="005545D3">
        <w:rPr>
          <w:rFonts w:ascii="Symbol" w:hAnsi="Symbol" w:cs="Symbol"/>
          <w:b/>
          <w:bCs/>
          <w:sz w:val="24"/>
          <w:szCs w:val="24"/>
        </w:rPr>
        <w:t></w:t>
      </w:r>
      <w:r w:rsidR="005545D3" w:rsidRPr="005545D3">
        <w:rPr>
          <w:rFonts w:ascii="Symbol" w:hAnsi="Symbol" w:cs="Symbol"/>
          <w:b/>
          <w:bCs/>
          <w:sz w:val="23"/>
          <w:szCs w:val="23"/>
        </w:rPr>
        <w:t></w:t>
      </w:r>
      <w:r w:rsidR="005545D3" w:rsidRPr="005545D3">
        <w:rPr>
          <w:rFonts w:ascii="Symbol" w:hAnsi="Symbol" w:cs="Symbol"/>
          <w:b/>
          <w:bCs/>
          <w:sz w:val="23"/>
          <w:szCs w:val="23"/>
          <w:vertAlign w:val="subscript"/>
        </w:rPr>
        <w:t></w:t>
      </w:r>
      <w:r w:rsidR="005545D3" w:rsidRPr="005545D3">
        <w:rPr>
          <w:rFonts w:ascii="Symbol" w:hAnsi="Symbol" w:cs="Symbol"/>
          <w:b/>
          <w:bCs/>
          <w:sz w:val="23"/>
          <w:szCs w:val="23"/>
        </w:rPr>
        <w:t></w:t>
      </w:r>
      <w:r w:rsidRPr="005545D3">
        <w:rPr>
          <w:rFonts w:ascii="Symbol" w:hAnsi="Symbol" w:cs="Symbol"/>
          <w:b/>
          <w:bCs/>
          <w:sz w:val="23"/>
          <w:szCs w:val="23"/>
        </w:rPr>
        <w:t></w:t>
      </w:r>
      <w:r w:rsidR="005545D3" w:rsidRPr="005545D3">
        <w:rPr>
          <w:rFonts w:ascii="Symbol" w:hAnsi="Symbol" w:cs="Symbol"/>
          <w:b/>
          <w:bCs/>
          <w:sz w:val="24"/>
          <w:szCs w:val="24"/>
        </w:rPr>
        <w:t></w:t>
      </w:r>
      <w:proofErr w:type="spellStart"/>
      <w:r w:rsidR="005545D3" w:rsidRPr="005545D3">
        <w:rPr>
          <w:rFonts w:ascii="Calibri" w:hAnsi="Calibri" w:cs="Symbol"/>
          <w:b/>
          <w:bCs/>
          <w:sz w:val="24"/>
          <w:szCs w:val="24"/>
        </w:rPr>
        <w:t>δ</w:t>
      </w:r>
      <w:r w:rsidR="005545D3" w:rsidRPr="005545D3">
        <w:rPr>
          <w:rFonts w:ascii="Calibri" w:hAnsi="Calibri" w:cs="Symbol"/>
          <w:b/>
          <w:bCs/>
          <w:sz w:val="24"/>
          <w:szCs w:val="24"/>
          <w:vertAlign w:val="subscript"/>
        </w:rPr>
        <w:t>i</w:t>
      </w:r>
      <w:proofErr w:type="spellEnd"/>
      <w:r w:rsidR="005545D3" w:rsidRPr="005545D3">
        <w:rPr>
          <w:rFonts w:ascii="Calibri" w:hAnsi="Calibri" w:cs="Symbol"/>
          <w:b/>
          <w:bCs/>
          <w:sz w:val="24"/>
          <w:szCs w:val="24"/>
        </w:rPr>
        <w:t xml:space="preserve">, </w:t>
      </w:r>
      <w:r w:rsidR="005545D3" w:rsidRPr="005545D3">
        <w:rPr>
          <w:rFonts w:ascii="Symbol" w:hAnsi="Symbol" w:cs="Symbol"/>
          <w:b/>
          <w:bCs/>
          <w:sz w:val="24"/>
          <w:szCs w:val="24"/>
        </w:rPr>
        <w:t></w:t>
      </w:r>
      <w:r w:rsidR="005545D3" w:rsidRPr="005545D3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5545D3" w:rsidRPr="005545D3">
        <w:rPr>
          <w:rFonts w:ascii="Symbol" w:hAnsi="Symbol" w:cs="Symbol"/>
          <w:b/>
          <w:bCs/>
          <w:sz w:val="24"/>
          <w:szCs w:val="24"/>
        </w:rPr>
        <w:t></w:t>
      </w:r>
      <w:r>
        <w:rPr>
          <w:rFonts w:ascii="Times New Roman" w:hAnsi="Times New Roman" w:cs="Times New Roman"/>
          <w:sz w:val="23"/>
          <w:szCs w:val="23"/>
        </w:rPr>
        <w:t>sont donnés par</w:t>
      </w:r>
    </w:p>
    <w:p w:rsidR="005545D3" w:rsidRDefault="00D256DF" w:rsidP="005545D3">
      <w:proofErr w:type="gramStart"/>
      <w:r>
        <w:rPr>
          <w:rFonts w:ascii="Times New Roman" w:hAnsi="Times New Roman" w:cs="Times New Roman"/>
          <w:sz w:val="23"/>
          <w:szCs w:val="23"/>
        </w:rPr>
        <w:t>les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équations </w:t>
      </w:r>
      <w:r w:rsidR="005545D3">
        <w:rPr>
          <w:rFonts w:ascii="Times New Roman" w:hAnsi="Times New Roman" w:cs="Times New Roman"/>
          <w:sz w:val="23"/>
          <w:szCs w:val="23"/>
        </w:rPr>
        <w:t xml:space="preserve"> de la statique </w:t>
      </w:r>
      <w:r>
        <w:rPr>
          <w:rFonts w:ascii="Times New Roman" w:hAnsi="Times New Roman" w:cs="Times New Roman"/>
          <w:sz w:val="23"/>
          <w:szCs w:val="23"/>
        </w:rPr>
        <w:t xml:space="preserve">(2.4) et (2.5) dans lesquelles </w:t>
      </w:r>
      <w:r w:rsidRPr="005545D3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Q </w:t>
      </w:r>
      <w:r>
        <w:rPr>
          <w:rFonts w:ascii="Times New Roman" w:hAnsi="Times New Roman" w:cs="Times New Roman"/>
          <w:sz w:val="23"/>
          <w:szCs w:val="23"/>
        </w:rPr>
        <w:t xml:space="preserve">est remplacé par </w:t>
      </w:r>
      <w:r w:rsidRPr="005545D3">
        <w:rPr>
          <w:rFonts w:ascii="Symbol" w:hAnsi="Symbol" w:cs="Symbol"/>
          <w:b/>
          <w:bCs/>
          <w:sz w:val="23"/>
          <w:szCs w:val="23"/>
        </w:rPr>
        <w:t></w:t>
      </w:r>
      <w:r w:rsidRPr="005545D3">
        <w:rPr>
          <w:rFonts w:ascii="Times New Roman" w:hAnsi="Times New Roman" w:cs="Times New Roman"/>
          <w:b/>
          <w:bCs/>
          <w:i/>
          <w:iCs/>
          <w:sz w:val="23"/>
          <w:szCs w:val="23"/>
        </w:rPr>
        <w:t>Q</w:t>
      </w:r>
      <w:r w:rsidRPr="005545D3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D'où immédiatement</w:t>
      </w:r>
    </w:p>
    <w:p w:rsidR="005545D3" w:rsidRDefault="005545D3" w:rsidP="005545D3">
      <w:pPr>
        <w:tabs>
          <w:tab w:val="left" w:pos="1165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5760720" cy="1226777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D3" w:rsidRPr="005545D3" w:rsidRDefault="005545D3" w:rsidP="005545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545D3">
        <w:rPr>
          <w:rFonts w:asciiTheme="majorBidi" w:hAnsiTheme="majorBidi" w:cstheme="majorBidi"/>
          <w:sz w:val="24"/>
          <w:szCs w:val="24"/>
        </w:rPr>
        <w:t xml:space="preserve">L'état </w:t>
      </w:r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résiduel </w:t>
      </w:r>
      <w:r w:rsidRPr="005545D3">
        <w:rPr>
          <w:rFonts w:asciiTheme="majorBidi" w:hAnsiTheme="majorBidi" w:cstheme="majorBidi"/>
          <w:sz w:val="24"/>
          <w:szCs w:val="24"/>
        </w:rPr>
        <w:t xml:space="preserve">de la structure, repéré par l’exposant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5545D3">
        <w:rPr>
          <w:rFonts w:asciiTheme="majorBidi" w:hAnsiTheme="majorBidi" w:cstheme="majorBidi"/>
          <w:sz w:val="24"/>
          <w:szCs w:val="24"/>
        </w:rPr>
        <w:t xml:space="preserve">( </w:t>
      </w:r>
      <w:proofErr w:type="gramStart"/>
      <w:r w:rsidRPr="005545D3">
        <w:rPr>
          <w:rFonts w:asciiTheme="majorBidi" w:hAnsiTheme="majorBidi" w:cstheme="majorBidi"/>
          <w:sz w:val="24"/>
          <w:szCs w:val="24"/>
        </w:rPr>
        <w:t>)</w:t>
      </w:r>
      <w:r w:rsidRPr="005545D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r</w:t>
      </w:r>
      <w:proofErr w:type="gramEnd"/>
      <w:r w:rsidRPr="005545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45D3">
        <w:rPr>
          <w:rFonts w:asciiTheme="majorBidi" w:hAnsiTheme="majorBidi" w:cstheme="majorBidi"/>
          <w:sz w:val="24"/>
          <w:szCs w:val="24"/>
        </w:rPr>
        <w:t>* , est obtenu dans le cas de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</w:rPr>
        <w:t>décharge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totale </w:t>
      </w:r>
      <w:r w:rsidRPr="005545D3">
        <w:rPr>
          <w:rFonts w:asciiTheme="majorBidi" w:hAnsiTheme="majorBidi" w:cstheme="majorBidi"/>
          <w:sz w:val="24"/>
          <w:szCs w:val="24"/>
        </w:rPr>
        <w:t xml:space="preserve">: </w:t>
      </w:r>
      <w:r w:rsidRPr="005545D3">
        <w:rPr>
          <w:rFonts w:asciiTheme="majorBidi" w:hAnsiTheme="majorBidi" w:cstheme="majorBidi"/>
          <w:b/>
          <w:bCs/>
          <w:sz w:val="24"/>
          <w:szCs w:val="24"/>
        </w:rPr>
        <w:t>Δ</w:t>
      </w:r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Q </w:t>
      </w:r>
      <w:r w:rsidRPr="005545D3">
        <w:rPr>
          <w:rFonts w:asciiTheme="majorBidi" w:hAnsiTheme="majorBidi" w:cstheme="majorBidi"/>
          <w:b/>
          <w:bCs/>
          <w:sz w:val="24"/>
          <w:szCs w:val="24"/>
        </w:rPr>
        <w:t>= -</w:t>
      </w:r>
      <w:proofErr w:type="spellStart"/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l</w:t>
      </w:r>
      <w:proofErr w:type="spellEnd"/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545D3">
        <w:rPr>
          <w:rFonts w:asciiTheme="majorBidi" w:hAnsiTheme="majorBidi" w:cstheme="majorBidi"/>
          <w:b/>
          <w:bCs/>
          <w:sz w:val="24"/>
          <w:szCs w:val="24"/>
        </w:rPr>
        <w:t>= -2</w:t>
      </w:r>
      <w:r w:rsidRPr="005545D3"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Pr="005545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545D3">
        <w:rPr>
          <w:rFonts w:asciiTheme="majorBidi" w:hAnsiTheme="majorBidi" w:cstheme="majorBidi"/>
          <w:sz w:val="24"/>
          <w:szCs w:val="24"/>
        </w:rPr>
        <w:t>. Il vient alors compte tenu de (2.22)</w:t>
      </w:r>
    </w:p>
    <w:p w:rsidR="005545D3" w:rsidRDefault="005545D3" w:rsidP="005545D3">
      <w:pPr>
        <w:tabs>
          <w:tab w:val="left" w:pos="1102"/>
        </w:tabs>
      </w:pPr>
      <w:r>
        <w:tab/>
      </w:r>
      <w:r>
        <w:rPr>
          <w:noProof/>
          <w:lang w:eastAsia="fr-FR"/>
        </w:rPr>
        <w:drawing>
          <wp:inline distT="0" distB="0" distL="0" distR="0">
            <wp:extent cx="4714875" cy="1534795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D3" w:rsidRPr="00557DE3" w:rsidRDefault="005545D3" w:rsidP="00557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5D3">
        <w:rPr>
          <w:rFonts w:ascii="Times New Roman" w:hAnsi="Times New Roman" w:cs="Times New Roman"/>
          <w:sz w:val="24"/>
          <w:szCs w:val="24"/>
        </w:rPr>
        <w:t>L'hypothèse de décharge élastique est bien vérifiée, les efforts dans les barres restant toujours à</w:t>
      </w:r>
      <w:r w:rsidR="00557DE3">
        <w:rPr>
          <w:rFonts w:ascii="Times New Roman" w:hAnsi="Times New Roman" w:cs="Times New Roman"/>
          <w:sz w:val="24"/>
          <w:szCs w:val="24"/>
        </w:rPr>
        <w:t xml:space="preserve"> </w:t>
      </w:r>
      <w:r w:rsidRPr="005545D3">
        <w:rPr>
          <w:rFonts w:ascii="Times New Roman" w:hAnsi="Times New Roman" w:cs="Times New Roman"/>
          <w:sz w:val="24"/>
          <w:szCs w:val="24"/>
        </w:rPr>
        <w:t xml:space="preserve">l'intérieur du domaine d'élasticité. On remarque bien évidemment que les </w:t>
      </w:r>
      <w:r w:rsidRPr="005545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efforts résiduels </w:t>
      </w:r>
      <w:r w:rsidRPr="005545D3">
        <w:rPr>
          <w:rFonts w:ascii="Times New Roman" w:hAnsi="Times New Roman" w:cs="Times New Roman"/>
          <w:i/>
          <w:iCs/>
          <w:sz w:val="24"/>
          <w:szCs w:val="24"/>
        </w:rPr>
        <w:t>r</w:t>
      </w:r>
    </w:p>
    <w:p w:rsidR="005545D3" w:rsidRPr="00557DE3" w:rsidRDefault="005545D3" w:rsidP="00557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5D3">
        <w:rPr>
          <w:rFonts w:ascii="Times New Roman" w:hAnsi="Times New Roman" w:cs="Times New Roman"/>
          <w:i/>
          <w:iCs/>
          <w:sz w:val="24"/>
          <w:szCs w:val="24"/>
        </w:rPr>
        <w:t>i N</w:t>
      </w:r>
      <w:r w:rsidR="0055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5D3">
        <w:rPr>
          <w:rFonts w:ascii="Times New Roman" w:hAnsi="Times New Roman" w:cs="Times New Roman"/>
          <w:sz w:val="24"/>
          <w:szCs w:val="24"/>
        </w:rPr>
        <w:t xml:space="preserve">forment un système </w:t>
      </w:r>
      <w:r w:rsidRPr="005545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auto-équilibré </w:t>
      </w:r>
      <w:r w:rsidRPr="005545D3">
        <w:rPr>
          <w:rFonts w:ascii="Times New Roman" w:hAnsi="Times New Roman" w:cs="Times New Roman"/>
          <w:sz w:val="24"/>
          <w:szCs w:val="24"/>
        </w:rPr>
        <w:t xml:space="preserve">(c'est-à-dire satisfaisant les équations d'équilibre (2.1) </w:t>
      </w:r>
      <w:r w:rsidRPr="00557DE3">
        <w:rPr>
          <w:rFonts w:ascii="Times New Roman" w:hAnsi="Times New Roman" w:cs="Times New Roman"/>
          <w:b/>
          <w:bCs/>
          <w:sz w:val="24"/>
          <w:szCs w:val="24"/>
        </w:rPr>
        <w:t>avec</w:t>
      </w:r>
      <w:r w:rsidR="00557DE3" w:rsidRPr="0055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Q</w:t>
      </w:r>
      <w:r w:rsidRPr="00557DE3">
        <w:rPr>
          <w:rFonts w:ascii="Times New Roman" w:hAnsi="Times New Roman" w:cs="Times New Roman"/>
          <w:b/>
          <w:bCs/>
          <w:sz w:val="24"/>
          <w:szCs w:val="24"/>
        </w:rPr>
        <w:t>=0)</w:t>
      </w:r>
      <w:r w:rsidRPr="005545D3">
        <w:rPr>
          <w:rFonts w:ascii="Times New Roman" w:hAnsi="Times New Roman" w:cs="Times New Roman"/>
          <w:sz w:val="24"/>
          <w:szCs w:val="24"/>
        </w:rPr>
        <w:t xml:space="preserve">, tandis que les </w:t>
      </w:r>
      <w:r w:rsidRPr="005545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allongements résiduels </w:t>
      </w:r>
      <m:oMath>
        <m:sSubSup>
          <m:sSubSupPr>
            <m:ctrlPr>
              <w:rPr>
                <w:rFonts w:ascii="Cambria Math" w:hAnsi="Cambria Math" w:cs="Symbol"/>
                <w:b/>
                <w:bCs/>
                <w:iCs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Symbol"/>
                <w:sz w:val="24"/>
                <w:szCs w:val="24"/>
              </w:rPr>
              <m:t>δ</m:t>
            </m:r>
          </m:e>
          <m:sub>
            <m:r>
              <m:rPr>
                <m:sty m:val="b"/>
              </m:rPr>
              <w:rPr>
                <w:rFonts w:ascii="Cambria Math" w:hAnsi="Cambria Math" w:cs="Symbol"/>
                <w:sz w:val="24"/>
                <w:szCs w:val="24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 w:cs="Symbol"/>
                <w:sz w:val="24"/>
                <w:szCs w:val="24"/>
              </w:rPr>
              <m:t>r</m:t>
            </m:r>
          </m:sup>
        </m:sSubSup>
      </m:oMath>
      <w:r w:rsidR="0055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5D3">
        <w:rPr>
          <w:rFonts w:ascii="Times New Roman" w:hAnsi="Times New Roman" w:cs="Times New Roman"/>
          <w:sz w:val="24"/>
          <w:szCs w:val="24"/>
        </w:rPr>
        <w:t>respectent la condition de compatibilité</w:t>
      </w:r>
    </w:p>
    <w:p w:rsidR="004A3AD2" w:rsidRDefault="005545D3" w:rsidP="00557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545D3">
        <w:rPr>
          <w:rFonts w:ascii="Times New Roman" w:hAnsi="Times New Roman" w:cs="Times New Roman"/>
          <w:sz w:val="24"/>
          <w:szCs w:val="24"/>
        </w:rPr>
        <w:t>géométrique</w:t>
      </w:r>
      <w:proofErr w:type="gramEnd"/>
      <w:r w:rsidRPr="005545D3">
        <w:rPr>
          <w:rFonts w:ascii="Times New Roman" w:hAnsi="Times New Roman" w:cs="Times New Roman"/>
          <w:sz w:val="24"/>
          <w:szCs w:val="24"/>
        </w:rPr>
        <w:t xml:space="preserve"> (2.3). Par contre les </w:t>
      </w:r>
      <w:r w:rsidRPr="005545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allongements plastiques </w:t>
      </w:r>
      <m:oMath>
        <m:sSubSup>
          <m:sSubSupPr>
            <m:ctrlPr>
              <w:rPr>
                <w:rFonts w:ascii="Cambria Math" w:hAnsi="Cambria Math" w:cs="Symbol"/>
                <w:b/>
                <w:bCs/>
                <w:iCs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Symbol"/>
                <w:sz w:val="24"/>
                <w:szCs w:val="24"/>
              </w:rPr>
              <m:t>δ</m:t>
            </m:r>
          </m:e>
          <m:sub>
            <m:r>
              <m:rPr>
                <m:sty m:val="b"/>
              </m:rPr>
              <w:rPr>
                <w:rFonts w:ascii="Cambria Math" w:hAnsi="Cambria Math" w:cs="Symbol"/>
                <w:sz w:val="24"/>
                <w:szCs w:val="24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 w:cs="Symbol"/>
                <w:sz w:val="24"/>
                <w:szCs w:val="24"/>
              </w:rPr>
              <m:t>p</m:t>
            </m:r>
          </m:sup>
        </m:sSubSup>
      </m:oMath>
      <w:r w:rsidR="0055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5D3">
        <w:rPr>
          <w:rFonts w:ascii="Times New Roman" w:hAnsi="Times New Roman" w:cs="Times New Roman"/>
          <w:sz w:val="24"/>
          <w:szCs w:val="24"/>
        </w:rPr>
        <w:t>acquis par les barres au cours de la</w:t>
      </w:r>
      <w:r w:rsidR="00557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5D3">
        <w:rPr>
          <w:rFonts w:ascii="Times New Roman" w:hAnsi="Times New Roman" w:cs="Times New Roman"/>
          <w:sz w:val="24"/>
          <w:szCs w:val="24"/>
        </w:rPr>
        <w:t>phase de chargement valent</w:t>
      </w:r>
    </w:p>
    <w:p w:rsidR="004A3AD2" w:rsidRDefault="004A3AD2" w:rsidP="004A3AD2">
      <w:pPr>
        <w:rPr>
          <w:rFonts w:ascii="Times New Roman" w:hAnsi="Times New Roman" w:cs="Times New Roman"/>
          <w:sz w:val="24"/>
          <w:szCs w:val="24"/>
        </w:rPr>
      </w:pPr>
    </w:p>
    <w:p w:rsidR="004A3AD2" w:rsidRDefault="004A3AD2" w:rsidP="004A3AD2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267710" cy="524510"/>
            <wp:effectExtent l="19050" t="0" r="889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D2" w:rsidRDefault="004A3AD2" w:rsidP="004A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A3AD2" w:rsidRDefault="004A3AD2" w:rsidP="004A3A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Ils ne sont donc pas géométriquement compatibles, et c'est précisément cette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incompatibilité géométrique </w:t>
      </w:r>
      <w:r>
        <w:rPr>
          <w:rFonts w:ascii="Times New Roman" w:hAnsi="Times New Roman" w:cs="Times New Roman"/>
          <w:sz w:val="23"/>
          <w:szCs w:val="23"/>
        </w:rPr>
        <w:t>qui est à l'origine de l'apparition d'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efforts résiduels. </w:t>
      </w:r>
      <w:r>
        <w:rPr>
          <w:rFonts w:ascii="Times New Roman" w:hAnsi="Times New Roman" w:cs="Times New Roman"/>
          <w:sz w:val="23"/>
          <w:szCs w:val="23"/>
        </w:rPr>
        <w:t>En effet, intégrant sur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l'ensemble du cycle charge-décharge la loi de comportement de chacune des barres :</w:t>
      </w:r>
    </w:p>
    <w:p w:rsidR="004A3AD2" w:rsidRDefault="004A3AD2" w:rsidP="004A3AD2">
      <w:pPr>
        <w:rPr>
          <w:rFonts w:ascii="Times New Roman" w:hAnsi="Times New Roman" w:cs="Times New Roman"/>
          <w:sz w:val="23"/>
          <w:szCs w:val="23"/>
        </w:rPr>
      </w:pPr>
    </w:p>
    <w:p w:rsidR="004A3AD2" w:rsidRDefault="004A3AD2" w:rsidP="004A3AD2">
      <w:pPr>
        <w:tabs>
          <w:tab w:val="left" w:pos="2154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2809875" cy="476250"/>
            <wp:effectExtent l="19050" t="0" r="952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F8" w:rsidRDefault="004A3AD2" w:rsidP="004A3AD2">
      <w:pPr>
        <w:tabs>
          <w:tab w:val="left" w:pos="249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2162810" cy="492760"/>
            <wp:effectExtent l="19050" t="0" r="889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F8" w:rsidRDefault="002065F8" w:rsidP="002065F8">
      <w:pPr>
        <w:rPr>
          <w:rFonts w:ascii="Times New Roman" w:hAnsi="Times New Roman" w:cs="Times New Roman"/>
          <w:sz w:val="23"/>
          <w:szCs w:val="23"/>
        </w:rPr>
      </w:pPr>
    </w:p>
    <w:p w:rsidR="002065F8" w:rsidRPr="002065F8" w:rsidRDefault="002065F8" w:rsidP="002065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5F8">
        <w:rPr>
          <w:rFonts w:ascii="Times New Roman" w:hAnsi="Times New Roman" w:cs="Times New Roman"/>
          <w:sz w:val="24"/>
          <w:szCs w:val="24"/>
        </w:rPr>
        <w:t xml:space="preserve">Cette dernière relation fait clairement apparaître que ce sont les </w:t>
      </w:r>
      <w:r w:rsidRPr="0020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déformations </w:t>
      </w:r>
      <w:r w:rsidRPr="002065F8">
        <w:rPr>
          <w:rFonts w:ascii="Times New Roman" w:hAnsi="Times New Roman" w:cs="Times New Roman"/>
          <w:sz w:val="24"/>
          <w:szCs w:val="24"/>
        </w:rPr>
        <w:t>(allongements)</w:t>
      </w:r>
    </w:p>
    <w:p w:rsidR="002065F8" w:rsidRDefault="002065F8" w:rsidP="002065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0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élastiques</w:t>
      </w:r>
      <w:proofErr w:type="gramEnd"/>
      <w:r w:rsidRPr="0020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dues aux efforts résiduels </w:t>
      </w:r>
      <w:r w:rsidRPr="002065F8">
        <w:rPr>
          <w:rFonts w:ascii="Times New Roman" w:hAnsi="Times New Roman" w:cs="Times New Roman"/>
          <w:sz w:val="24"/>
          <w:szCs w:val="24"/>
        </w:rPr>
        <w:t xml:space="preserve">qui, en se superposant aux </w:t>
      </w:r>
      <w:r w:rsidRPr="0020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allongements plastiques,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rétablissent la compatibilité géométrique </w:t>
      </w:r>
      <w:r w:rsidRPr="002065F8">
        <w:rPr>
          <w:rFonts w:ascii="Times New Roman" w:hAnsi="Times New Roman" w:cs="Times New Roman"/>
          <w:sz w:val="24"/>
          <w:szCs w:val="24"/>
        </w:rPr>
        <w:t>de la structure (voir figure 6).</w:t>
      </w:r>
    </w:p>
    <w:p w:rsidR="002065F8" w:rsidRDefault="002065F8" w:rsidP="002065F8">
      <w:pPr>
        <w:rPr>
          <w:rFonts w:ascii="Times New Roman" w:hAnsi="Times New Roman" w:cs="Times New Roman"/>
          <w:sz w:val="24"/>
          <w:szCs w:val="24"/>
        </w:rPr>
      </w:pPr>
    </w:p>
    <w:p w:rsidR="002065F8" w:rsidRDefault="002065F8" w:rsidP="002065F8">
      <w:pPr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236515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30" w:rsidRPr="002065F8" w:rsidRDefault="002065F8" w:rsidP="002065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517575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530" w:rsidRPr="002065F8" w:rsidSect="000B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56DF"/>
    <w:rsid w:val="000B5530"/>
    <w:rsid w:val="002065F8"/>
    <w:rsid w:val="004A3AD2"/>
    <w:rsid w:val="005545D3"/>
    <w:rsid w:val="00557DE3"/>
    <w:rsid w:val="00D2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6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7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Binfo</dc:creator>
  <cp:lastModifiedBy>Binfo</cp:lastModifiedBy>
  <cp:revision>3</cp:revision>
  <dcterms:created xsi:type="dcterms:W3CDTF">2020-03-30T18:04:00Z</dcterms:created>
  <dcterms:modified xsi:type="dcterms:W3CDTF">2020-03-30T18:47:00Z</dcterms:modified>
</cp:coreProperties>
</file>