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A54EF3" w14:textId="77777777" w:rsidR="00DE2FFB" w:rsidRDefault="00DE2FFB" w:rsidP="00DE2FFB">
      <w:pPr>
        <w:shd w:val="clear" w:color="auto" w:fill="FFFFFF"/>
        <w:spacing w:before="100" w:beforeAutospacing="1" w:after="100" w:afterAutospacing="1" w:line="240" w:lineRule="auto"/>
        <w:jc w:val="both"/>
        <w:rPr>
          <w:rFonts w:ascii="Calibri" w:eastAsia="Times New Roman" w:hAnsi="Calibri" w:cs="Calibri"/>
          <w:color w:val="000000"/>
          <w:sz w:val="21"/>
          <w:szCs w:val="21"/>
          <w:lang w:eastAsia="fr-DZ"/>
        </w:rPr>
      </w:pPr>
      <w:r>
        <w:rPr>
          <w:rFonts w:ascii="Calibri" w:eastAsia="Times New Roman" w:hAnsi="Calibri" w:cs="Calibri"/>
          <w:color w:val="000000"/>
          <w:sz w:val="21"/>
          <w:szCs w:val="21"/>
          <w:lang w:eastAsia="fr-DZ"/>
        </w:rPr>
        <w:t xml:space="preserve">    L’agriculture oasienne   </w:t>
      </w:r>
    </w:p>
    <w:p w14:paraId="23D28CC8" w14:textId="286DF7FF" w:rsidR="00DE2FFB" w:rsidRPr="00DE2FFB" w:rsidRDefault="00910A4F" w:rsidP="00DE2FFB">
      <w:pPr>
        <w:shd w:val="clear" w:color="auto" w:fill="FFFFFF"/>
        <w:spacing w:before="100" w:beforeAutospacing="1" w:after="100" w:afterAutospacing="1" w:line="240" w:lineRule="auto"/>
        <w:jc w:val="both"/>
        <w:rPr>
          <w:rFonts w:ascii="Calibri" w:eastAsia="Times New Roman" w:hAnsi="Calibri" w:cs="Calibri"/>
          <w:color w:val="000000"/>
          <w:sz w:val="21"/>
          <w:szCs w:val="21"/>
          <w:lang w:val="fr-DZ" w:eastAsia="fr-DZ"/>
        </w:rPr>
      </w:pPr>
      <w:r>
        <w:rPr>
          <w:rFonts w:ascii="Calibri" w:eastAsia="Times New Roman" w:hAnsi="Calibri" w:cs="Calibri"/>
          <w:color w:val="000000"/>
          <w:sz w:val="21"/>
          <w:szCs w:val="21"/>
          <w:lang w:eastAsia="fr-DZ"/>
        </w:rPr>
        <w:t xml:space="preserve">     </w:t>
      </w:r>
      <w:bookmarkStart w:id="0" w:name="_GoBack"/>
      <w:bookmarkEnd w:id="0"/>
      <w:r w:rsidR="00DE2FFB" w:rsidRPr="00DE2FFB">
        <w:rPr>
          <w:rFonts w:ascii="Calibri" w:eastAsia="Times New Roman" w:hAnsi="Calibri" w:cs="Calibri"/>
          <w:color w:val="000000"/>
          <w:sz w:val="21"/>
          <w:szCs w:val="21"/>
          <w:lang w:val="fr-DZ" w:eastAsia="fr-DZ"/>
        </w:rPr>
        <w:t>L’oasis n’est pas seulement un « lieu habité isolé dans un environnement aride ou plus généralement hostile dont la localisation est liée à la possibilité d’exploiter une ressource, notamment l’eau, pour la pratique de l’agriculture irriguée » comme le précisent </w:t>
      </w:r>
      <w:bookmarkStart w:id="1" w:name="InR15"/>
      <w:bookmarkEnd w:id="1"/>
      <w:r w:rsidR="00DE2FFB" w:rsidRPr="00DE2FFB">
        <w:rPr>
          <w:rFonts w:ascii="Calibri" w:eastAsia="Times New Roman" w:hAnsi="Calibri" w:cs="Calibri"/>
          <w:color w:val="000000"/>
          <w:sz w:val="21"/>
          <w:szCs w:val="21"/>
          <w:lang w:val="fr-DZ" w:eastAsia="fr-DZ"/>
        </w:rPr>
        <w:fldChar w:fldCharType="begin"/>
      </w:r>
      <w:r w:rsidR="00DE2FFB" w:rsidRPr="00DE2FFB">
        <w:rPr>
          <w:rFonts w:ascii="Calibri" w:eastAsia="Times New Roman" w:hAnsi="Calibri" w:cs="Calibri"/>
          <w:color w:val="000000"/>
          <w:sz w:val="21"/>
          <w:szCs w:val="21"/>
          <w:lang w:val="fr-DZ" w:eastAsia="fr-DZ"/>
        </w:rPr>
        <w:instrText xml:space="preserve"> HYPERLINK "https://www.cahiersagricultures.fr/articles/cagri/full_html/2018/01/cagri170016/cagri170016.html" \l "R15" </w:instrText>
      </w:r>
      <w:r w:rsidR="00DE2FFB" w:rsidRPr="00DE2FFB">
        <w:rPr>
          <w:rFonts w:ascii="Calibri" w:eastAsia="Times New Roman" w:hAnsi="Calibri" w:cs="Calibri"/>
          <w:color w:val="000000"/>
          <w:sz w:val="21"/>
          <w:szCs w:val="21"/>
          <w:lang w:val="fr-DZ" w:eastAsia="fr-DZ"/>
        </w:rPr>
        <w:fldChar w:fldCharType="separate"/>
      </w:r>
      <w:r w:rsidR="00DE2FFB" w:rsidRPr="00DE2FFB">
        <w:rPr>
          <w:rFonts w:ascii="Calibri" w:eastAsia="Times New Roman" w:hAnsi="Calibri" w:cs="Calibri"/>
          <w:color w:val="0000FF"/>
          <w:sz w:val="21"/>
          <w:szCs w:val="21"/>
          <w:u w:val="single"/>
          <w:lang w:val="fr-DZ" w:eastAsia="fr-DZ"/>
        </w:rPr>
        <w:t>Lévy et Lussault, (2003</w:t>
      </w:r>
      <w:r w:rsidR="00DE2FFB" w:rsidRPr="00DE2FFB">
        <w:rPr>
          <w:rFonts w:ascii="Calibri" w:eastAsia="Times New Roman" w:hAnsi="Calibri" w:cs="Calibri"/>
          <w:color w:val="000000"/>
          <w:sz w:val="21"/>
          <w:szCs w:val="21"/>
          <w:lang w:val="fr-DZ" w:eastAsia="fr-DZ"/>
        </w:rPr>
        <w:fldChar w:fldCharType="end"/>
      </w:r>
      <w:r w:rsidR="00DE2FFB" w:rsidRPr="00DE2FFB">
        <w:rPr>
          <w:rFonts w:ascii="Calibri" w:eastAsia="Times New Roman" w:hAnsi="Calibri" w:cs="Calibri"/>
          <w:color w:val="000000"/>
          <w:sz w:val="21"/>
          <w:szCs w:val="21"/>
          <w:lang w:val="fr-DZ" w:eastAsia="fr-DZ"/>
        </w:rPr>
        <w:t>, p. 671), mais elle a également servi de relais au commerce caravanier. L’agriculture oasienne a contribué largement à satisfaire les besoins alimentaires des populations (</w:t>
      </w:r>
      <w:hyperlink r:id="rId4" w:anchor="R5" w:history="1">
        <w:r w:rsidR="00DE2FFB" w:rsidRPr="00DE2FFB">
          <w:rPr>
            <w:rFonts w:ascii="Calibri" w:eastAsia="Times New Roman" w:hAnsi="Calibri" w:cs="Calibri"/>
            <w:color w:val="0000FF"/>
            <w:sz w:val="21"/>
            <w:szCs w:val="21"/>
            <w:u w:val="single"/>
            <w:lang w:val="fr-DZ" w:eastAsia="fr-DZ"/>
          </w:rPr>
          <w:t>Bisson, 2003</w:t>
        </w:r>
      </w:hyperlink>
      <w:r w:rsidR="00DE2FFB" w:rsidRPr="00DE2FFB">
        <w:rPr>
          <w:rFonts w:ascii="Calibri" w:eastAsia="Times New Roman" w:hAnsi="Calibri" w:cs="Calibri"/>
          <w:color w:val="000000"/>
          <w:sz w:val="21"/>
          <w:szCs w:val="21"/>
          <w:lang w:val="fr-DZ" w:eastAsia="fr-DZ"/>
        </w:rPr>
        <w:t>). Cependant, « l’installation de la colonisation au début du </w:t>
      </w:r>
      <w:r w:rsidR="00DE2FFB" w:rsidRPr="00DE2FFB">
        <w:rPr>
          <w:rFonts w:ascii="Calibri" w:eastAsia="Times New Roman" w:hAnsi="Calibri" w:cs="Calibri"/>
          <w:caps/>
          <w:color w:val="000000"/>
          <w:sz w:val="15"/>
          <w:szCs w:val="15"/>
          <w:lang w:val="fr-DZ" w:eastAsia="fr-DZ"/>
        </w:rPr>
        <w:t>XX</w:t>
      </w:r>
      <w:r w:rsidR="00DE2FFB" w:rsidRPr="00DE2FFB">
        <w:rPr>
          <w:rFonts w:ascii="Calibri" w:eastAsia="Times New Roman" w:hAnsi="Calibri" w:cs="Calibri"/>
          <w:color w:val="000000"/>
          <w:sz w:val="21"/>
          <w:szCs w:val="21"/>
          <w:vertAlign w:val="superscript"/>
          <w:lang w:val="fr-DZ" w:eastAsia="fr-DZ"/>
        </w:rPr>
        <w:t>e</w:t>
      </w:r>
      <w:r w:rsidR="00DE2FFB" w:rsidRPr="00DE2FFB">
        <w:rPr>
          <w:rFonts w:ascii="Calibri" w:eastAsia="Times New Roman" w:hAnsi="Calibri" w:cs="Calibri"/>
          <w:color w:val="000000"/>
          <w:sz w:val="21"/>
          <w:szCs w:val="21"/>
          <w:lang w:val="fr-DZ" w:eastAsia="fr-DZ"/>
        </w:rPr>
        <w:t> siècle dans le pays des foggaras s’est matérialisée par une présence physique de l’administration coloniale, par la mise en place d’une circonscription administrative, l’introduction de l’impôt et par le contrôle des voies commerciales transsahariennes » (</w:t>
      </w:r>
      <w:proofErr w:type="spellStart"/>
      <w:r w:rsidR="00DE2FFB" w:rsidRPr="00DE2FFB">
        <w:rPr>
          <w:rFonts w:ascii="Calibri" w:eastAsia="Times New Roman" w:hAnsi="Calibri" w:cs="Calibri"/>
          <w:color w:val="000000"/>
          <w:sz w:val="21"/>
          <w:szCs w:val="21"/>
          <w:lang w:val="fr-DZ" w:eastAsia="fr-DZ"/>
        </w:rPr>
        <w:fldChar w:fldCharType="begin"/>
      </w:r>
      <w:r w:rsidR="00DE2FFB" w:rsidRPr="00DE2FFB">
        <w:rPr>
          <w:rFonts w:ascii="Calibri" w:eastAsia="Times New Roman" w:hAnsi="Calibri" w:cs="Calibri"/>
          <w:color w:val="000000"/>
          <w:sz w:val="21"/>
          <w:szCs w:val="21"/>
          <w:lang w:val="fr-DZ" w:eastAsia="fr-DZ"/>
        </w:rPr>
        <w:instrText xml:space="preserve"> HYPERLINK "https://www.cahiersagricultures.fr/articles/cagri/full_html/2018/01/cagri170016/cagri170016.html" \l "R19" </w:instrText>
      </w:r>
      <w:r w:rsidR="00DE2FFB" w:rsidRPr="00DE2FFB">
        <w:rPr>
          <w:rFonts w:ascii="Calibri" w:eastAsia="Times New Roman" w:hAnsi="Calibri" w:cs="Calibri"/>
          <w:color w:val="000000"/>
          <w:sz w:val="21"/>
          <w:szCs w:val="21"/>
          <w:lang w:val="fr-DZ" w:eastAsia="fr-DZ"/>
        </w:rPr>
        <w:fldChar w:fldCharType="separate"/>
      </w:r>
      <w:r w:rsidR="00DE2FFB" w:rsidRPr="00DE2FFB">
        <w:rPr>
          <w:rFonts w:ascii="Calibri" w:eastAsia="Times New Roman" w:hAnsi="Calibri" w:cs="Calibri"/>
          <w:color w:val="0000FF"/>
          <w:sz w:val="21"/>
          <w:szCs w:val="21"/>
          <w:u w:val="single"/>
          <w:lang w:val="fr-DZ" w:eastAsia="fr-DZ"/>
        </w:rPr>
        <w:t>Otmane</w:t>
      </w:r>
      <w:proofErr w:type="spellEnd"/>
      <w:r w:rsidR="00DE2FFB" w:rsidRPr="00DE2FFB">
        <w:rPr>
          <w:rFonts w:ascii="Calibri" w:eastAsia="Times New Roman" w:hAnsi="Calibri" w:cs="Calibri"/>
          <w:color w:val="0000FF"/>
          <w:sz w:val="21"/>
          <w:szCs w:val="21"/>
          <w:u w:val="single"/>
          <w:lang w:val="fr-DZ" w:eastAsia="fr-DZ"/>
        </w:rPr>
        <w:t>, 2010</w:t>
      </w:r>
      <w:r w:rsidR="00DE2FFB" w:rsidRPr="00DE2FFB">
        <w:rPr>
          <w:rFonts w:ascii="Calibri" w:eastAsia="Times New Roman" w:hAnsi="Calibri" w:cs="Calibri"/>
          <w:color w:val="000000"/>
          <w:sz w:val="21"/>
          <w:szCs w:val="21"/>
          <w:lang w:val="fr-DZ" w:eastAsia="fr-DZ"/>
        </w:rPr>
        <w:fldChar w:fldCharType="end"/>
      </w:r>
      <w:r w:rsidR="00DE2FFB" w:rsidRPr="00DE2FFB">
        <w:rPr>
          <w:rFonts w:ascii="Calibri" w:eastAsia="Times New Roman" w:hAnsi="Calibri" w:cs="Calibri"/>
          <w:color w:val="000000"/>
          <w:sz w:val="21"/>
          <w:szCs w:val="21"/>
          <w:lang w:val="fr-DZ" w:eastAsia="fr-DZ"/>
        </w:rPr>
        <w:t>, p. 88). Ces actions ont conduit à l’affaiblissement du réseau d’échanges, privant ainsi les oasis d’une main-d’œuvre destinée habituellement au creusement et à l’entretien des </w:t>
      </w:r>
      <w:r w:rsidR="00DE2FFB" w:rsidRPr="00DE2FFB">
        <w:rPr>
          <w:rFonts w:ascii="Calibri" w:eastAsia="Times New Roman" w:hAnsi="Calibri" w:cs="Calibri"/>
          <w:i/>
          <w:iCs/>
          <w:color w:val="000000"/>
          <w:sz w:val="21"/>
          <w:szCs w:val="21"/>
          <w:lang w:val="fr-DZ" w:eastAsia="fr-DZ"/>
        </w:rPr>
        <w:t>foggaras</w:t>
      </w:r>
      <w:r w:rsidR="00DE2FFB" w:rsidRPr="00DE2FFB">
        <w:rPr>
          <w:rFonts w:ascii="Calibri" w:eastAsia="Times New Roman" w:hAnsi="Calibri" w:cs="Calibri"/>
          <w:color w:val="000000"/>
          <w:sz w:val="21"/>
          <w:szCs w:val="21"/>
          <w:lang w:val="fr-DZ" w:eastAsia="fr-DZ"/>
        </w:rPr>
        <w:t> (</w:t>
      </w:r>
      <w:bookmarkStart w:id="2" w:name="InR6"/>
      <w:bookmarkEnd w:id="2"/>
      <w:r w:rsidR="00DE2FFB" w:rsidRPr="00DE2FFB">
        <w:rPr>
          <w:rFonts w:ascii="Calibri" w:eastAsia="Times New Roman" w:hAnsi="Calibri" w:cs="Calibri"/>
          <w:color w:val="000000"/>
          <w:sz w:val="21"/>
          <w:szCs w:val="21"/>
          <w:lang w:val="fr-DZ" w:eastAsia="fr-DZ"/>
        </w:rPr>
        <w:fldChar w:fldCharType="begin"/>
      </w:r>
      <w:r w:rsidR="00DE2FFB" w:rsidRPr="00DE2FFB">
        <w:rPr>
          <w:rFonts w:ascii="Calibri" w:eastAsia="Times New Roman" w:hAnsi="Calibri" w:cs="Calibri"/>
          <w:color w:val="000000"/>
          <w:sz w:val="21"/>
          <w:szCs w:val="21"/>
          <w:lang w:val="fr-DZ" w:eastAsia="fr-DZ"/>
        </w:rPr>
        <w:instrText xml:space="preserve"> HYPERLINK "https://www.cahiersagricultures.fr/articles/cagri/full_html/2018/01/cagri170016/cagri170016.html" \l "R6" </w:instrText>
      </w:r>
      <w:r w:rsidR="00DE2FFB" w:rsidRPr="00DE2FFB">
        <w:rPr>
          <w:rFonts w:ascii="Calibri" w:eastAsia="Times New Roman" w:hAnsi="Calibri" w:cs="Calibri"/>
          <w:color w:val="000000"/>
          <w:sz w:val="21"/>
          <w:szCs w:val="21"/>
          <w:lang w:val="fr-DZ" w:eastAsia="fr-DZ"/>
        </w:rPr>
        <w:fldChar w:fldCharType="separate"/>
      </w:r>
      <w:r w:rsidR="00DE2FFB" w:rsidRPr="00DE2FFB">
        <w:rPr>
          <w:rFonts w:ascii="Calibri" w:eastAsia="Times New Roman" w:hAnsi="Calibri" w:cs="Calibri"/>
          <w:color w:val="0000FF"/>
          <w:sz w:val="21"/>
          <w:szCs w:val="21"/>
          <w:u w:val="single"/>
          <w:lang w:val="fr-DZ" w:eastAsia="fr-DZ"/>
        </w:rPr>
        <w:t>Capot-Rey, 1953</w:t>
      </w:r>
      <w:r w:rsidR="00DE2FFB" w:rsidRPr="00DE2FFB">
        <w:rPr>
          <w:rFonts w:ascii="Calibri" w:eastAsia="Times New Roman" w:hAnsi="Calibri" w:cs="Calibri"/>
          <w:color w:val="000000"/>
          <w:sz w:val="21"/>
          <w:szCs w:val="21"/>
          <w:lang w:val="fr-DZ" w:eastAsia="fr-DZ"/>
        </w:rPr>
        <w:fldChar w:fldCharType="end"/>
      </w:r>
      <w:r w:rsidR="00DE2FFB" w:rsidRPr="00DE2FFB">
        <w:rPr>
          <w:rFonts w:ascii="Calibri" w:eastAsia="Times New Roman" w:hAnsi="Calibri" w:cs="Calibri"/>
          <w:color w:val="000000"/>
          <w:sz w:val="21"/>
          <w:szCs w:val="21"/>
          <w:lang w:val="fr-DZ" w:eastAsia="fr-DZ"/>
        </w:rPr>
        <w:t>). Cet élément a été capital dans le recul de l’activité agricole. Après l’Indépendance, la nouvelle structuration administrative instaurée par l’État est également responsable de nombreux changements dans la manière de gérer ces espaces. L’organisation sociale commence à être sérieusement modifiée. En effet, l’assemblée communale s’est substituée progressivement aux prérogatives de la </w:t>
      </w:r>
      <w:proofErr w:type="spellStart"/>
      <w:r w:rsidR="00DE2FFB" w:rsidRPr="00DE2FFB">
        <w:rPr>
          <w:rFonts w:ascii="Calibri" w:eastAsia="Times New Roman" w:hAnsi="Calibri" w:cs="Calibri"/>
          <w:i/>
          <w:iCs/>
          <w:color w:val="000000"/>
          <w:sz w:val="21"/>
          <w:szCs w:val="21"/>
          <w:lang w:val="fr-DZ" w:eastAsia="fr-DZ"/>
        </w:rPr>
        <w:t>djemaâ</w:t>
      </w:r>
      <w:proofErr w:type="spellEnd"/>
      <w:r w:rsidR="00DE2FFB" w:rsidRPr="00DE2FFB">
        <w:rPr>
          <w:rFonts w:ascii="Calibri" w:eastAsia="Times New Roman" w:hAnsi="Calibri" w:cs="Calibri"/>
          <w:color w:val="000000"/>
          <w:sz w:val="21"/>
          <w:szCs w:val="21"/>
          <w:lang w:val="fr-DZ" w:eastAsia="fr-DZ"/>
        </w:rPr>
        <w:t>, le conseil représentant la collectivité. Cela a permis aux fils des </w:t>
      </w:r>
      <w:r w:rsidR="00DE2FFB" w:rsidRPr="00DE2FFB">
        <w:rPr>
          <w:rFonts w:ascii="Calibri" w:eastAsia="Times New Roman" w:hAnsi="Calibri" w:cs="Calibri"/>
          <w:i/>
          <w:iCs/>
          <w:color w:val="000000"/>
          <w:sz w:val="21"/>
          <w:szCs w:val="21"/>
          <w:lang w:val="fr-DZ" w:eastAsia="fr-DZ"/>
        </w:rPr>
        <w:t>Harratines</w:t>
      </w:r>
      <w:r w:rsidR="00DE2FFB" w:rsidRPr="00DE2FFB">
        <w:rPr>
          <w:rFonts w:ascii="Calibri" w:eastAsia="Times New Roman" w:hAnsi="Calibri" w:cs="Calibri"/>
          <w:color w:val="000000"/>
          <w:sz w:val="21"/>
          <w:szCs w:val="21"/>
          <w:lang w:val="fr-DZ" w:eastAsia="fr-DZ"/>
        </w:rPr>
        <w:t> (Hommes de couleur qui travaillent la terre : </w:t>
      </w:r>
      <w:proofErr w:type="spellStart"/>
      <w:r w:rsidR="00DE2FFB" w:rsidRPr="00DE2FFB">
        <w:rPr>
          <w:rFonts w:ascii="Calibri" w:eastAsia="Times New Roman" w:hAnsi="Calibri" w:cs="Calibri"/>
          <w:i/>
          <w:iCs/>
          <w:color w:val="000000"/>
          <w:sz w:val="21"/>
          <w:szCs w:val="21"/>
          <w:lang w:val="fr-DZ" w:eastAsia="fr-DZ"/>
        </w:rPr>
        <w:t>harth</w:t>
      </w:r>
      <w:proofErr w:type="spellEnd"/>
      <w:r w:rsidR="00DE2FFB" w:rsidRPr="00DE2FFB">
        <w:rPr>
          <w:rFonts w:ascii="Calibri" w:eastAsia="Times New Roman" w:hAnsi="Calibri" w:cs="Calibri"/>
          <w:color w:val="000000"/>
          <w:sz w:val="21"/>
          <w:szCs w:val="21"/>
          <w:lang w:val="fr-DZ" w:eastAsia="fr-DZ"/>
        </w:rPr>
        <w:t> signifie labour) de se libérer d’une discrimination sociale et d’accéder aux assemblées populaires communales et à d’autres postes de responsabilité dans les services de l’État. Ce bouleversement a pris une nouvelle envergure après la mise en œuvre de la Révolution agraire durant les années soixante-dix. Les principes de cette révolution sont clairs en ce qui concerne </w:t>
      </w:r>
      <w:r w:rsidR="00DE2FFB" w:rsidRPr="00DE2FFB">
        <w:rPr>
          <w:rFonts w:ascii="Calibri" w:eastAsia="Times New Roman" w:hAnsi="Calibri" w:cs="Calibri"/>
          <w:i/>
          <w:iCs/>
          <w:color w:val="000000"/>
          <w:sz w:val="21"/>
          <w:szCs w:val="21"/>
          <w:lang w:val="fr-DZ" w:eastAsia="fr-DZ"/>
        </w:rPr>
        <w:t>« l’élimination de toute forme d’exploitation du travail d’autrui en rétablissant dans l’agriculture des rapports directs de travail, basés sur le principe : la terre appartient à ceux qui la travaillent »</w:t>
      </w:r>
      <w:r w:rsidR="00DE2FFB" w:rsidRPr="00DE2FFB">
        <w:rPr>
          <w:rFonts w:ascii="Calibri" w:eastAsia="Times New Roman" w:hAnsi="Calibri" w:cs="Calibri"/>
          <w:color w:val="000000"/>
          <w:sz w:val="21"/>
          <w:szCs w:val="21"/>
          <w:lang w:val="fr-DZ" w:eastAsia="fr-DZ"/>
        </w:rPr>
        <w:t> (Charte de la révolution agraire et Ordonnance 71–73 du 8 novembre 1971 portant Révolution agraire, Journal officiel de la République algérienne n° 30 novembre 1971). Propriétaires fonciers des palmeraies et de l’eau de la </w:t>
      </w:r>
      <w:r w:rsidR="00DE2FFB" w:rsidRPr="00DE2FFB">
        <w:rPr>
          <w:rFonts w:ascii="Calibri" w:eastAsia="Times New Roman" w:hAnsi="Calibri" w:cs="Calibri"/>
          <w:i/>
          <w:iCs/>
          <w:color w:val="000000"/>
          <w:sz w:val="21"/>
          <w:szCs w:val="21"/>
          <w:lang w:val="fr-DZ" w:eastAsia="fr-DZ"/>
        </w:rPr>
        <w:t>foggara</w:t>
      </w:r>
      <w:r w:rsidR="00DE2FFB" w:rsidRPr="00DE2FFB">
        <w:rPr>
          <w:rFonts w:ascii="Calibri" w:eastAsia="Times New Roman" w:hAnsi="Calibri" w:cs="Calibri"/>
          <w:color w:val="000000"/>
          <w:sz w:val="21"/>
          <w:szCs w:val="21"/>
          <w:lang w:val="fr-DZ" w:eastAsia="fr-DZ"/>
        </w:rPr>
        <w:t>, les </w:t>
      </w:r>
      <w:proofErr w:type="spellStart"/>
      <w:r w:rsidR="00DE2FFB" w:rsidRPr="00DE2FFB">
        <w:rPr>
          <w:rFonts w:ascii="Calibri" w:eastAsia="Times New Roman" w:hAnsi="Calibri" w:cs="Calibri"/>
          <w:i/>
          <w:iCs/>
          <w:color w:val="000000"/>
          <w:sz w:val="21"/>
          <w:szCs w:val="21"/>
          <w:lang w:val="fr-DZ" w:eastAsia="fr-DZ"/>
        </w:rPr>
        <w:t>Chorfa</w:t>
      </w:r>
      <w:proofErr w:type="spellEnd"/>
      <w:r w:rsidR="00DE2FFB" w:rsidRPr="00DE2FFB">
        <w:rPr>
          <w:rFonts w:ascii="Calibri" w:eastAsia="Times New Roman" w:hAnsi="Calibri" w:cs="Calibri"/>
          <w:color w:val="000000"/>
          <w:sz w:val="21"/>
          <w:szCs w:val="21"/>
          <w:lang w:val="fr-DZ" w:eastAsia="fr-DZ"/>
        </w:rPr>
        <w:t> (populations arabes) et les </w:t>
      </w:r>
      <w:proofErr w:type="spellStart"/>
      <w:r w:rsidR="00DE2FFB" w:rsidRPr="00DE2FFB">
        <w:rPr>
          <w:rFonts w:ascii="Calibri" w:eastAsia="Times New Roman" w:hAnsi="Calibri" w:cs="Calibri"/>
          <w:i/>
          <w:iCs/>
          <w:color w:val="000000"/>
          <w:sz w:val="21"/>
          <w:szCs w:val="21"/>
          <w:lang w:val="fr-DZ" w:eastAsia="fr-DZ"/>
        </w:rPr>
        <w:t>Mrabtine</w:t>
      </w:r>
      <w:proofErr w:type="spellEnd"/>
      <w:r w:rsidR="00DE2FFB" w:rsidRPr="00DE2FFB">
        <w:rPr>
          <w:rFonts w:ascii="Calibri" w:eastAsia="Times New Roman" w:hAnsi="Calibri" w:cs="Calibri"/>
          <w:color w:val="000000"/>
          <w:sz w:val="21"/>
          <w:szCs w:val="21"/>
          <w:lang w:val="fr-DZ" w:eastAsia="fr-DZ"/>
        </w:rPr>
        <w:t> (hommes de religion d’origine berbère) des ksour (villages traditionnels) de la région d’Adrar, expliquent que cette réforme agraire est à l’origine de la refonte des rapports sociaux au sein de la société oasienne. Depuis, </w:t>
      </w:r>
      <w:r w:rsidR="00DE2FFB" w:rsidRPr="00DE2FFB">
        <w:rPr>
          <w:rFonts w:ascii="Calibri" w:eastAsia="Times New Roman" w:hAnsi="Calibri" w:cs="Calibri"/>
          <w:i/>
          <w:iCs/>
          <w:color w:val="000000"/>
          <w:sz w:val="21"/>
          <w:szCs w:val="21"/>
          <w:lang w:val="fr-DZ" w:eastAsia="fr-DZ"/>
        </w:rPr>
        <w:t>« ces propriétaires fonciers qui ne travaillaient pas la terre se sont trouvés, en quelques années, coupés de “ leurs Harratines ” qui possédaient à la fois le savoir-faire dans l’agriculture, et dans le forage et l’entretien permanent des galeries de foggaras »</w:t>
      </w:r>
      <w:r w:rsidR="00DE2FFB" w:rsidRPr="00DE2FFB">
        <w:rPr>
          <w:rFonts w:ascii="Calibri" w:eastAsia="Times New Roman" w:hAnsi="Calibri" w:cs="Calibri"/>
          <w:color w:val="000000"/>
          <w:sz w:val="21"/>
          <w:szCs w:val="21"/>
          <w:lang w:val="fr-DZ" w:eastAsia="fr-DZ"/>
        </w:rPr>
        <w:t> (</w:t>
      </w:r>
      <w:bookmarkStart w:id="3" w:name="InR3"/>
      <w:bookmarkEnd w:id="3"/>
      <w:proofErr w:type="spellStart"/>
      <w:r w:rsidR="00DE2FFB" w:rsidRPr="00DE2FFB">
        <w:rPr>
          <w:rFonts w:ascii="Calibri" w:eastAsia="Times New Roman" w:hAnsi="Calibri" w:cs="Calibri"/>
          <w:color w:val="000000"/>
          <w:sz w:val="21"/>
          <w:szCs w:val="21"/>
          <w:lang w:val="fr-DZ" w:eastAsia="fr-DZ"/>
        </w:rPr>
        <w:fldChar w:fldCharType="begin"/>
      </w:r>
      <w:r w:rsidR="00DE2FFB" w:rsidRPr="00DE2FFB">
        <w:rPr>
          <w:rFonts w:ascii="Calibri" w:eastAsia="Times New Roman" w:hAnsi="Calibri" w:cs="Calibri"/>
          <w:color w:val="000000"/>
          <w:sz w:val="21"/>
          <w:szCs w:val="21"/>
          <w:lang w:val="fr-DZ" w:eastAsia="fr-DZ"/>
        </w:rPr>
        <w:instrText xml:space="preserve"> HYPERLINK "https://www.cahiersagricultures.fr/articles/cagri/full_html/2018/01/cagri170016/cagri170016.html" \l "R3" </w:instrText>
      </w:r>
      <w:r w:rsidR="00DE2FFB" w:rsidRPr="00DE2FFB">
        <w:rPr>
          <w:rFonts w:ascii="Calibri" w:eastAsia="Times New Roman" w:hAnsi="Calibri" w:cs="Calibri"/>
          <w:color w:val="000000"/>
          <w:sz w:val="21"/>
          <w:szCs w:val="21"/>
          <w:lang w:val="fr-DZ" w:eastAsia="fr-DZ"/>
        </w:rPr>
        <w:fldChar w:fldCharType="separate"/>
      </w:r>
      <w:r w:rsidR="00DE2FFB" w:rsidRPr="00DE2FFB">
        <w:rPr>
          <w:rFonts w:ascii="Calibri" w:eastAsia="Times New Roman" w:hAnsi="Calibri" w:cs="Calibri"/>
          <w:color w:val="0000FF"/>
          <w:sz w:val="21"/>
          <w:szCs w:val="21"/>
          <w:u w:val="single"/>
          <w:lang w:val="fr-DZ" w:eastAsia="fr-DZ"/>
        </w:rPr>
        <w:t>Bendjelid</w:t>
      </w:r>
      <w:proofErr w:type="spellEnd"/>
      <w:r w:rsidR="00DE2FFB" w:rsidRPr="00DE2FFB">
        <w:rPr>
          <w:rFonts w:ascii="Calibri" w:eastAsia="Times New Roman" w:hAnsi="Calibri" w:cs="Calibri"/>
          <w:color w:val="0000FF"/>
          <w:sz w:val="21"/>
          <w:szCs w:val="21"/>
          <w:u w:val="single"/>
          <w:lang w:val="fr-DZ" w:eastAsia="fr-DZ"/>
        </w:rPr>
        <w:t> </w:t>
      </w:r>
      <w:r w:rsidR="00DE2FFB" w:rsidRPr="00DE2FFB">
        <w:rPr>
          <w:rFonts w:ascii="Calibri" w:eastAsia="Times New Roman" w:hAnsi="Calibri" w:cs="Calibri"/>
          <w:i/>
          <w:iCs/>
          <w:color w:val="0000FF"/>
          <w:sz w:val="21"/>
          <w:szCs w:val="21"/>
          <w:u w:val="single"/>
          <w:lang w:val="fr-DZ" w:eastAsia="fr-DZ"/>
        </w:rPr>
        <w:t>et al.</w:t>
      </w:r>
      <w:r w:rsidR="00DE2FFB" w:rsidRPr="00DE2FFB">
        <w:rPr>
          <w:rFonts w:ascii="Calibri" w:eastAsia="Times New Roman" w:hAnsi="Calibri" w:cs="Calibri"/>
          <w:color w:val="0000FF"/>
          <w:sz w:val="21"/>
          <w:szCs w:val="21"/>
          <w:u w:val="single"/>
          <w:lang w:val="fr-DZ" w:eastAsia="fr-DZ"/>
        </w:rPr>
        <w:t>, 1999</w:t>
      </w:r>
      <w:r w:rsidR="00DE2FFB" w:rsidRPr="00DE2FFB">
        <w:rPr>
          <w:rFonts w:ascii="Calibri" w:eastAsia="Times New Roman" w:hAnsi="Calibri" w:cs="Calibri"/>
          <w:color w:val="000000"/>
          <w:sz w:val="21"/>
          <w:szCs w:val="21"/>
          <w:lang w:val="fr-DZ" w:eastAsia="fr-DZ"/>
        </w:rPr>
        <w:fldChar w:fldCharType="end"/>
      </w:r>
      <w:r w:rsidR="00DE2FFB" w:rsidRPr="00DE2FFB">
        <w:rPr>
          <w:rFonts w:ascii="Calibri" w:eastAsia="Times New Roman" w:hAnsi="Calibri" w:cs="Calibri"/>
          <w:color w:val="000000"/>
          <w:sz w:val="21"/>
          <w:szCs w:val="21"/>
          <w:lang w:val="fr-DZ" w:eastAsia="fr-DZ"/>
        </w:rPr>
        <w:t>, p. 46). Les entretiens effectués avec les </w:t>
      </w:r>
      <w:r w:rsidR="00DE2FFB" w:rsidRPr="00DE2FFB">
        <w:rPr>
          <w:rFonts w:ascii="Calibri" w:eastAsia="Times New Roman" w:hAnsi="Calibri" w:cs="Calibri"/>
          <w:i/>
          <w:iCs/>
          <w:color w:val="000000"/>
          <w:sz w:val="21"/>
          <w:szCs w:val="21"/>
          <w:lang w:val="fr-DZ" w:eastAsia="fr-DZ"/>
        </w:rPr>
        <w:t>Harratines</w:t>
      </w:r>
      <w:r w:rsidR="00DE2FFB" w:rsidRPr="00DE2FFB">
        <w:rPr>
          <w:rFonts w:ascii="Calibri" w:eastAsia="Times New Roman" w:hAnsi="Calibri" w:cs="Calibri"/>
          <w:color w:val="000000"/>
          <w:sz w:val="21"/>
          <w:szCs w:val="21"/>
          <w:lang w:val="fr-DZ" w:eastAsia="fr-DZ"/>
        </w:rPr>
        <w:t> nous ont confirmé que cette réforme a contribué à les « libérer » et qu’ils ont pu, par la suite, acquérir des terrains pour les cultiver et même obtenir des logements dans le cadre des villages socialistes agricoles.</w:t>
      </w:r>
    </w:p>
    <w:p w14:paraId="5F6F9997" w14:textId="77777777" w:rsidR="00FF5B35" w:rsidRPr="00DE2FFB" w:rsidRDefault="00FF5B35">
      <w:pPr>
        <w:rPr>
          <w:lang w:val="fr-DZ"/>
        </w:rPr>
      </w:pPr>
    </w:p>
    <w:sectPr w:rsidR="00FF5B35" w:rsidRPr="00DE2FF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FFB"/>
    <w:rsid w:val="00910A4F"/>
    <w:rsid w:val="00DE2FFB"/>
    <w:rsid w:val="00FF5B3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BEA18"/>
  <w15:docId w15:val="{330DCE97-B873-4B0B-BE16-340732E7A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rPr>
      <w:rFonts w:asciiTheme="majorHAnsi" w:eastAsiaTheme="majorEastAsia" w:hAnsiTheme="majorHAnsi" w:cstheme="majorBidi"/>
      <w:i/>
      <w:iCs/>
      <w:color w:val="404040" w:themeColor="text1" w:themeTint="BF"/>
      <w:sz w:val="20"/>
      <w:szCs w:val="20"/>
    </w:rPr>
  </w:style>
  <w:style w:type="paragraph" w:styleId="Titre">
    <w:name w:val="Title"/>
    <w:basedOn w:val="Normal"/>
    <w:next w:val="Normal"/>
    <w:link w:val="TitreCar"/>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Pr>
      <w:rFonts w:asciiTheme="majorHAnsi" w:eastAsiaTheme="majorEastAsia" w:hAnsiTheme="majorHAnsi" w:cstheme="majorBidi"/>
      <w:color w:val="17365D" w:themeColor="text2" w:themeShade="BF"/>
      <w:spacing w:val="5"/>
      <w:kern w:val="28"/>
      <w:sz w:val="52"/>
      <w:szCs w:val="52"/>
    </w:rPr>
  </w:style>
  <w:style w:type="paragraph" w:styleId="Sous-titre">
    <w:name w:val="Subtitle"/>
    <w:basedOn w:val="Normal"/>
    <w:next w:val="Normal"/>
    <w:link w:val="Sous-titreCar"/>
    <w:uiPriority w:val="11"/>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Pr>
      <w:rFonts w:asciiTheme="majorHAnsi" w:eastAsiaTheme="majorEastAsia" w:hAnsiTheme="majorHAnsi" w:cstheme="majorBidi"/>
      <w:i/>
      <w:iCs/>
      <w:color w:val="4F81BD" w:themeColor="accent1"/>
      <w:spacing w:val="15"/>
      <w:sz w:val="24"/>
      <w:szCs w:val="24"/>
    </w:rPr>
  </w:style>
  <w:style w:type="character" w:styleId="Accentuationlgre">
    <w:name w:val="Subtle Emphasis"/>
    <w:basedOn w:val="Policepardfaut"/>
    <w:uiPriority w:val="19"/>
    <w:qFormat/>
    <w:rPr>
      <w:i/>
      <w:iCs/>
      <w:color w:val="808080" w:themeColor="text1" w:themeTint="7F"/>
    </w:rPr>
  </w:style>
  <w:style w:type="character" w:styleId="Accentuation">
    <w:name w:val="Emphasis"/>
    <w:basedOn w:val="Policepardfaut"/>
    <w:uiPriority w:val="20"/>
    <w:qFormat/>
    <w:rPr>
      <w:i/>
      <w:iCs/>
    </w:rPr>
  </w:style>
  <w:style w:type="character" w:styleId="Accentuationintense">
    <w:name w:val="Intense Emphasis"/>
    <w:basedOn w:val="Policepardfaut"/>
    <w:uiPriority w:val="21"/>
    <w:qFormat/>
    <w:rPr>
      <w:b/>
      <w:bCs/>
      <w:i/>
      <w:iCs/>
      <w:color w:val="4F81BD" w:themeColor="accent1"/>
    </w:rPr>
  </w:style>
  <w:style w:type="character" w:styleId="lev">
    <w:name w:val="Strong"/>
    <w:basedOn w:val="Policepardfaut"/>
    <w:uiPriority w:val="22"/>
    <w:qFormat/>
    <w:rPr>
      <w:b/>
      <w:bCs/>
    </w:rPr>
  </w:style>
  <w:style w:type="paragraph" w:styleId="Citation">
    <w:name w:val="Quote"/>
    <w:basedOn w:val="Normal"/>
    <w:next w:val="Normal"/>
    <w:link w:val="CitationCar"/>
    <w:uiPriority w:val="29"/>
    <w:qFormat/>
    <w:rPr>
      <w:i/>
      <w:iCs/>
      <w:color w:val="000000" w:themeColor="text1"/>
    </w:rPr>
  </w:style>
  <w:style w:type="character" w:customStyle="1" w:styleId="CitationCar">
    <w:name w:val="Citation Car"/>
    <w:basedOn w:val="Policepardfaut"/>
    <w:link w:val="Citation"/>
    <w:uiPriority w:val="29"/>
    <w:rPr>
      <w:i/>
      <w:iCs/>
      <w:color w:val="000000" w:themeColor="text1"/>
    </w:rPr>
  </w:style>
  <w:style w:type="paragraph" w:styleId="Citationintense">
    <w:name w:val="Intense Quote"/>
    <w:basedOn w:val="Normal"/>
    <w:next w:val="Normal"/>
    <w:link w:val="CitationintenseC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Pr>
      <w:b/>
      <w:bCs/>
      <w:i/>
      <w:iCs/>
      <w:color w:val="4F81BD" w:themeColor="accent1"/>
    </w:rPr>
  </w:style>
  <w:style w:type="character" w:styleId="Rfrencelgre">
    <w:name w:val="Subtle Reference"/>
    <w:basedOn w:val="Policepardfaut"/>
    <w:uiPriority w:val="31"/>
    <w:qFormat/>
    <w:rPr>
      <w:smallCaps/>
      <w:color w:val="C0504D" w:themeColor="accent2"/>
      <w:u w:val="single"/>
    </w:rPr>
  </w:style>
  <w:style w:type="character" w:styleId="Rfrenceintense">
    <w:name w:val="Intense Reference"/>
    <w:basedOn w:val="Policepardfaut"/>
    <w:uiPriority w:val="32"/>
    <w:qFormat/>
    <w:rPr>
      <w:b/>
      <w:bCs/>
      <w:smallCaps/>
      <w:color w:val="C0504D" w:themeColor="accent2"/>
      <w:spacing w:val="5"/>
      <w:u w:val="single"/>
    </w:rPr>
  </w:style>
  <w:style w:type="character" w:styleId="Titredulivre">
    <w:name w:val="Book Title"/>
    <w:basedOn w:val="Policepardfaut"/>
    <w:uiPriority w:val="33"/>
    <w:qFormat/>
    <w:rPr>
      <w:b/>
      <w:bCs/>
      <w:smallCaps/>
      <w:spacing w:val="5"/>
    </w:rPr>
  </w:style>
  <w:style w:type="paragraph" w:styleId="Paragraphedeliste">
    <w:name w:val="List Paragraph"/>
    <w:basedOn w:val="Normal"/>
    <w:uiPriority w:val="34"/>
    <w:qFormat/>
    <w:pPr>
      <w:ind w:left="720"/>
      <w:contextualSpacing/>
    </w:pPr>
  </w:style>
  <w:style w:type="character" w:styleId="Lienhypertexte">
    <w:name w:val="Hyperlink"/>
    <w:basedOn w:val="Policepardfaut"/>
    <w:uiPriority w:val="99"/>
    <w:unhideWhenUsed/>
    <w:rPr>
      <w:color w:val="0000FF" w:themeColor="hyperlink"/>
      <w:u w:val="single"/>
    </w:rPr>
  </w:style>
  <w:style w:type="character" w:styleId="Lienhypertextesuivivisit">
    <w:name w:val="FollowedHyperlink"/>
    <w:basedOn w:val="Policepardfaut"/>
    <w:uiPriority w:val="99"/>
    <w:unhideWhenUsed/>
    <w:rPr>
      <w:color w:val="800080" w:themeColor="followedHyperlink"/>
      <w:u w:val="single"/>
    </w:rPr>
  </w:style>
  <w:style w:type="paragraph" w:styleId="NormalWeb">
    <w:name w:val="Normal (Web)"/>
    <w:basedOn w:val="Normal"/>
    <w:uiPriority w:val="99"/>
    <w:semiHidden/>
    <w:unhideWhenUsed/>
    <w:rsid w:val="00DE2FFB"/>
    <w:pPr>
      <w:spacing w:before="100" w:beforeAutospacing="1" w:after="100" w:afterAutospacing="1" w:line="240" w:lineRule="auto"/>
    </w:pPr>
    <w:rPr>
      <w:rFonts w:ascii="Times New Roman" w:eastAsia="Times New Roman" w:hAnsi="Times New Roman" w:cs="Times New Roman"/>
      <w:sz w:val="24"/>
      <w:szCs w:val="24"/>
      <w:lang w:val="fr-DZ" w:eastAsia="fr-DZ"/>
    </w:rPr>
  </w:style>
  <w:style w:type="character" w:customStyle="1" w:styleId="smallcaps">
    <w:name w:val="smallcaps"/>
    <w:basedOn w:val="Policepardfaut"/>
    <w:rsid w:val="00DE2F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0139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ahiersagricultures.fr/articles/cagri/full_html/2018/01/cagri170016/cagri170016.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Root\Templates\1036\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2010 look</Template>
  <TotalTime>2</TotalTime>
  <Pages>1</Pages>
  <Words>570</Words>
  <Characters>3249</Characters>
  <Application>Microsoft Office Word</Application>
  <DocSecurity>0</DocSecurity>
  <Lines>27</Lines>
  <Paragraphs>7</Paragraphs>
  <ScaleCrop>false</ScaleCrop>
  <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Ziane</dc:creator>
  <cp:keywords/>
  <dc:description/>
  <cp:lastModifiedBy>Ziane</cp:lastModifiedBy>
  <cp:revision>2</cp:revision>
  <dcterms:created xsi:type="dcterms:W3CDTF">2020-05-09T00:29:00Z</dcterms:created>
  <dcterms:modified xsi:type="dcterms:W3CDTF">2020-05-09T00:58:00Z</dcterms:modified>
</cp:coreProperties>
</file>